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7033" w14:textId="77777777" w:rsidR="006D6646" w:rsidRDefault="00C615D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Module Handbook or collection of module descriptions that is also available for students to consult </w:t>
      </w:r>
      <w:r>
        <w:rPr>
          <w:rFonts w:ascii="Times New Roman" w:hAnsi="Times New Roman" w:cs="Times New Roman"/>
          <w:sz w:val="24"/>
          <w:szCs w:val="24"/>
        </w:rPr>
        <w:t>should contain the following information about the individual modules:</w:t>
      </w:r>
    </w:p>
    <w:p w14:paraId="3E1531F7" w14:textId="77777777" w:rsidR="006D6646" w:rsidRDefault="006D6646">
      <w:pPr>
        <w:pStyle w:val="BodyText"/>
        <w:spacing w:before="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047"/>
      </w:tblGrid>
      <w:tr w:rsidR="006D6646" w14:paraId="5E2F5D26" w14:textId="77777777">
        <w:trPr>
          <w:trHeight w:val="407"/>
        </w:trPr>
        <w:tc>
          <w:tcPr>
            <w:tcW w:w="3085" w:type="dxa"/>
          </w:tcPr>
          <w:p w14:paraId="4E2A979D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designation</w:t>
            </w:r>
          </w:p>
        </w:tc>
        <w:tc>
          <w:tcPr>
            <w:tcW w:w="6047" w:type="dxa"/>
          </w:tcPr>
          <w:p w14:paraId="5307356E" w14:textId="6C72E8E3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C615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Survey and Land Resources Evaluation</w:t>
            </w:r>
          </w:p>
          <w:p w14:paraId="56999D2B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6D6646" w14:paraId="4AEC696D" w14:textId="77777777">
        <w:trPr>
          <w:trHeight w:val="407"/>
        </w:trPr>
        <w:tc>
          <w:tcPr>
            <w:tcW w:w="3085" w:type="dxa"/>
          </w:tcPr>
          <w:p w14:paraId="5A157589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level, if applicable</w:t>
            </w:r>
          </w:p>
        </w:tc>
        <w:tc>
          <w:tcPr>
            <w:tcW w:w="6047" w:type="dxa"/>
          </w:tcPr>
          <w:p w14:paraId="044AF6D8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6D6646" w14:paraId="01C739B1" w14:textId="77777777">
        <w:trPr>
          <w:trHeight w:val="407"/>
        </w:trPr>
        <w:tc>
          <w:tcPr>
            <w:tcW w:w="3085" w:type="dxa"/>
          </w:tcPr>
          <w:p w14:paraId="6A9553D6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Code, if applicable</w:t>
            </w:r>
          </w:p>
        </w:tc>
        <w:tc>
          <w:tcPr>
            <w:tcW w:w="6047" w:type="dxa"/>
          </w:tcPr>
          <w:p w14:paraId="7DBE1F64" w14:textId="5BB5B05D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PNT 3119</w:t>
            </w:r>
          </w:p>
        </w:tc>
      </w:tr>
      <w:tr w:rsidR="006D6646" w14:paraId="32D1CA56" w14:textId="77777777">
        <w:trPr>
          <w:trHeight w:val="407"/>
        </w:trPr>
        <w:tc>
          <w:tcPr>
            <w:tcW w:w="3085" w:type="dxa"/>
          </w:tcPr>
          <w:p w14:paraId="52FCE03D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Subtitle, if applicable</w:t>
            </w:r>
          </w:p>
        </w:tc>
        <w:tc>
          <w:tcPr>
            <w:tcW w:w="6047" w:type="dxa"/>
          </w:tcPr>
          <w:p w14:paraId="4A33730E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646" w14:paraId="665559B2" w14:textId="77777777">
        <w:trPr>
          <w:trHeight w:val="407"/>
        </w:trPr>
        <w:tc>
          <w:tcPr>
            <w:tcW w:w="3085" w:type="dxa"/>
          </w:tcPr>
          <w:p w14:paraId="354C0E73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Courses, if applicable</w:t>
            </w:r>
          </w:p>
        </w:tc>
        <w:tc>
          <w:tcPr>
            <w:tcW w:w="6047" w:type="dxa"/>
          </w:tcPr>
          <w:p w14:paraId="41D31703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Pendahuluan</w:t>
            </w:r>
            <w:proofErr w:type="spellEnd"/>
          </w:p>
          <w:p w14:paraId="5A26A1A2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Hubungan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Survei</w:t>
            </w:r>
            <w:proofErr w:type="spellEnd"/>
            <w:r>
              <w:rPr>
                <w:sz w:val="20"/>
                <w:szCs w:val="20"/>
              </w:rPr>
              <w:t xml:space="preserve"> Tanah dan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Lahan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Tanah yang lain</w:t>
            </w:r>
          </w:p>
          <w:p w14:paraId="1713B200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Kategori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klasifikasi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lahan</w:t>
            </w:r>
            <w:proofErr w:type="spellEnd"/>
          </w:p>
          <w:p w14:paraId="69A05DEC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Sifat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10 ordo </w:t>
            </w:r>
            <w:proofErr w:type="spellStart"/>
            <w:r>
              <w:rPr>
                <w:sz w:val="20"/>
                <w:szCs w:val="20"/>
              </w:rPr>
              <w:t>tanah</w:t>
            </w:r>
            <w:proofErr w:type="spellEnd"/>
          </w:p>
          <w:p w14:paraId="48402237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Perencanaan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pembuatan</w:t>
            </w:r>
            <w:proofErr w:type="spellEnd"/>
            <w:r>
              <w:rPr>
                <w:sz w:val="20"/>
                <w:szCs w:val="20"/>
              </w:rPr>
              <w:t xml:space="preserve"> peta</w:t>
            </w:r>
          </w:p>
          <w:p w14:paraId="5F6D7F01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Persiapan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inventarisasi</w:t>
            </w:r>
            <w:proofErr w:type="spellEnd"/>
            <w:r>
              <w:rPr>
                <w:sz w:val="20"/>
                <w:szCs w:val="20"/>
              </w:rPr>
              <w:t xml:space="preserve"> data yang </w:t>
            </w:r>
            <w:proofErr w:type="spellStart"/>
            <w:r>
              <w:rPr>
                <w:sz w:val="20"/>
                <w:szCs w:val="20"/>
              </w:rPr>
              <w:t>diperlukan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tujuan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pemetaan</w:t>
            </w:r>
            <w:proofErr w:type="spellEnd"/>
          </w:p>
          <w:p w14:paraId="06AE4034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survey</w:t>
            </w:r>
          </w:p>
          <w:p w14:paraId="65E1C183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Lima </w:t>
            </w:r>
            <w:proofErr w:type="spellStart"/>
            <w:r>
              <w:rPr>
                <w:sz w:val="20"/>
                <w:szCs w:val="20"/>
              </w:rPr>
              <w:t>kategori</w:t>
            </w:r>
            <w:proofErr w:type="spellEnd"/>
            <w:r>
              <w:rPr>
                <w:sz w:val="20"/>
                <w:szCs w:val="20"/>
              </w:rPr>
              <w:t xml:space="preserve"> peta </w:t>
            </w:r>
            <w:proofErr w:type="spellStart"/>
            <w:r>
              <w:rPr>
                <w:sz w:val="20"/>
                <w:szCs w:val="20"/>
              </w:rPr>
              <w:t>tanah</w:t>
            </w:r>
            <w:proofErr w:type="spellEnd"/>
          </w:p>
          <w:p w14:paraId="20C9A864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Tingkat </w:t>
            </w:r>
            <w:proofErr w:type="spellStart"/>
            <w:r>
              <w:rPr>
                <w:sz w:val="20"/>
                <w:szCs w:val="20"/>
              </w:rPr>
              <w:t>ketelitian</w:t>
            </w:r>
            <w:proofErr w:type="spellEnd"/>
            <w:r>
              <w:rPr>
                <w:sz w:val="20"/>
                <w:szCs w:val="20"/>
              </w:rPr>
              <w:t xml:space="preserve"> peta</w:t>
            </w:r>
          </w:p>
          <w:p w14:paraId="734DCA15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Survei</w:t>
            </w:r>
            <w:proofErr w:type="spellEnd"/>
            <w:r>
              <w:rPr>
                <w:sz w:val="20"/>
                <w:szCs w:val="20"/>
              </w:rPr>
              <w:t xml:space="preserve"> Utama</w:t>
            </w:r>
          </w:p>
          <w:p w14:paraId="0A4E8BF5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</w:t>
            </w:r>
            <w:r>
              <w:rPr>
                <w:sz w:val="20"/>
                <w:szCs w:val="20"/>
              </w:rPr>
              <w:t xml:space="preserve">ce factor, genesis </w:t>
            </w:r>
            <w:proofErr w:type="spellStart"/>
            <w:r>
              <w:rPr>
                <w:sz w:val="20"/>
                <w:szCs w:val="20"/>
              </w:rPr>
              <w:t>tanah</w:t>
            </w:r>
            <w:proofErr w:type="spellEnd"/>
          </w:p>
          <w:p w14:paraId="025BE117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i-FI"/>
              </w:rPr>
              <w:t xml:space="preserve">Karakter, kualitas dan keseuaian lahan </w:t>
            </w:r>
          </w:p>
          <w:p w14:paraId="19D6F3D8" w14:textId="77777777" w:rsidR="006D6646" w:rsidRDefault="00C615D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Kelas </w:t>
            </w:r>
            <w:proofErr w:type="spellStart"/>
            <w:r>
              <w:rPr>
                <w:sz w:val="20"/>
                <w:szCs w:val="20"/>
              </w:rPr>
              <w:t>kemampuan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lahan</w:t>
            </w:r>
            <w:proofErr w:type="spellEnd"/>
          </w:p>
        </w:tc>
      </w:tr>
      <w:tr w:rsidR="006D6646" w14:paraId="0A3726F1" w14:textId="77777777">
        <w:trPr>
          <w:trHeight w:val="660"/>
        </w:trPr>
        <w:tc>
          <w:tcPr>
            <w:tcW w:w="3085" w:type="dxa"/>
          </w:tcPr>
          <w:p w14:paraId="735EE34B" w14:textId="77777777" w:rsidR="006D6646" w:rsidRDefault="00C615D3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which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module is taught</w:t>
            </w:r>
          </w:p>
        </w:tc>
        <w:tc>
          <w:tcPr>
            <w:tcW w:w="6047" w:type="dxa"/>
          </w:tcPr>
          <w:p w14:paraId="1A42A816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Even</w:t>
            </w:r>
          </w:p>
        </w:tc>
      </w:tr>
      <w:tr w:rsidR="006D6646" w14:paraId="3831B61C" w14:textId="77777777">
        <w:trPr>
          <w:trHeight w:val="660"/>
        </w:trPr>
        <w:tc>
          <w:tcPr>
            <w:tcW w:w="3085" w:type="dxa"/>
          </w:tcPr>
          <w:p w14:paraId="00DDA1F4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 for the module</w:t>
            </w:r>
          </w:p>
        </w:tc>
        <w:tc>
          <w:tcPr>
            <w:tcW w:w="6047" w:type="dxa"/>
          </w:tcPr>
          <w:p w14:paraId="519ABC2C" w14:textId="77777777" w:rsidR="006D6646" w:rsidRDefault="00C6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Makruf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Nurudin,S.P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M.P.</w:t>
            </w:r>
          </w:p>
        </w:tc>
      </w:tr>
      <w:tr w:rsidR="006D6646" w14:paraId="38BCCD1C" w14:textId="77777777">
        <w:trPr>
          <w:trHeight w:val="407"/>
        </w:trPr>
        <w:tc>
          <w:tcPr>
            <w:tcW w:w="3085" w:type="dxa"/>
          </w:tcPr>
          <w:p w14:paraId="6624121B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6047" w:type="dxa"/>
          </w:tcPr>
          <w:p w14:paraId="10D79005" w14:textId="77777777" w:rsidR="006D6646" w:rsidRDefault="00C6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Makruf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Nurudin,S.P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M.P.</w:t>
            </w:r>
          </w:p>
        </w:tc>
      </w:tr>
      <w:tr w:rsidR="006D6646" w14:paraId="154DAEA1" w14:textId="77777777">
        <w:trPr>
          <w:trHeight w:val="407"/>
        </w:trPr>
        <w:tc>
          <w:tcPr>
            <w:tcW w:w="3085" w:type="dxa"/>
          </w:tcPr>
          <w:p w14:paraId="3E1574FA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047" w:type="dxa"/>
          </w:tcPr>
          <w:p w14:paraId="58357170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Bahasa/Indonesian language</w:t>
            </w:r>
          </w:p>
        </w:tc>
      </w:tr>
      <w:tr w:rsidR="006D6646" w14:paraId="4A845ECE" w14:textId="77777777">
        <w:trPr>
          <w:trHeight w:val="844"/>
        </w:trPr>
        <w:tc>
          <w:tcPr>
            <w:tcW w:w="3085" w:type="dxa"/>
          </w:tcPr>
          <w:p w14:paraId="60312144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 to curriculum</w:t>
            </w:r>
          </w:p>
        </w:tc>
        <w:tc>
          <w:tcPr>
            <w:tcW w:w="6047" w:type="dxa"/>
          </w:tcPr>
          <w:p w14:paraId="57D6122E" w14:textId="77777777" w:rsidR="006D6646" w:rsidRDefault="00C615D3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ompulsory</w:t>
            </w:r>
            <w:proofErr w:type="spellEnd"/>
          </w:p>
        </w:tc>
      </w:tr>
      <w:tr w:rsidR="006D6646" w14:paraId="5F30DA93" w14:textId="77777777">
        <w:trPr>
          <w:trHeight w:val="660"/>
        </w:trPr>
        <w:tc>
          <w:tcPr>
            <w:tcW w:w="3085" w:type="dxa"/>
          </w:tcPr>
          <w:p w14:paraId="5335D47C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teaching, contact hours</w:t>
            </w:r>
          </w:p>
        </w:tc>
        <w:tc>
          <w:tcPr>
            <w:tcW w:w="6047" w:type="dxa"/>
          </w:tcPr>
          <w:p w14:paraId="5325761B" w14:textId="77777777" w:rsidR="006D6646" w:rsidRDefault="00C615D3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Lecture, practical,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presentation</w:t>
            </w:r>
          </w:p>
        </w:tc>
      </w:tr>
      <w:tr w:rsidR="006D6646" w14:paraId="46049BF7" w14:textId="77777777">
        <w:trPr>
          <w:trHeight w:val="844"/>
        </w:trPr>
        <w:tc>
          <w:tcPr>
            <w:tcW w:w="3085" w:type="dxa"/>
          </w:tcPr>
          <w:p w14:paraId="703E2166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Workload</w:t>
            </w:r>
          </w:p>
        </w:tc>
        <w:tc>
          <w:tcPr>
            <w:tcW w:w="6047" w:type="dxa"/>
          </w:tcPr>
          <w:p w14:paraId="1A944AC1" w14:textId="77777777" w:rsidR="006D6646" w:rsidRDefault="00C615D3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2/1-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3,02/1,51 ects</w:t>
            </w:r>
          </w:p>
        </w:tc>
      </w:tr>
      <w:tr w:rsidR="006D6646" w14:paraId="25E502ED" w14:textId="77777777">
        <w:trPr>
          <w:trHeight w:val="407"/>
        </w:trPr>
        <w:tc>
          <w:tcPr>
            <w:tcW w:w="3085" w:type="dxa"/>
          </w:tcPr>
          <w:p w14:paraId="39E02201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points</w:t>
            </w:r>
          </w:p>
        </w:tc>
        <w:tc>
          <w:tcPr>
            <w:tcW w:w="6047" w:type="dxa"/>
          </w:tcPr>
          <w:p w14:paraId="668560F2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6D6646" w14:paraId="2C5A2CCD" w14:textId="77777777">
        <w:trPr>
          <w:trHeight w:val="660"/>
        </w:trPr>
        <w:tc>
          <w:tcPr>
            <w:tcW w:w="3085" w:type="dxa"/>
          </w:tcPr>
          <w:p w14:paraId="5DADFDDC" w14:textId="77777777" w:rsidR="006D6646" w:rsidRDefault="00C615D3">
            <w:pPr>
              <w:pStyle w:val="TableParagraph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76F0D0DD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 be 70% of all meetings</w:t>
            </w:r>
          </w:p>
          <w:p w14:paraId="0F89965D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to accomplished all the assignments</w:t>
            </w:r>
          </w:p>
        </w:tc>
      </w:tr>
      <w:tr w:rsidR="006D6646" w14:paraId="280D7923" w14:textId="77777777">
        <w:trPr>
          <w:trHeight w:val="408"/>
        </w:trPr>
        <w:tc>
          <w:tcPr>
            <w:tcW w:w="3085" w:type="dxa"/>
          </w:tcPr>
          <w:p w14:paraId="1A758519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 prerequisites</w:t>
            </w:r>
          </w:p>
        </w:tc>
        <w:tc>
          <w:tcPr>
            <w:tcW w:w="6047" w:type="dxa"/>
          </w:tcPr>
          <w:p w14:paraId="297FD4A5" w14:textId="77777777" w:rsidR="006D6646" w:rsidRDefault="00C615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6D6646" w14:paraId="1FEDCF2F" w14:textId="77777777">
        <w:trPr>
          <w:trHeight w:val="3084"/>
        </w:trPr>
        <w:tc>
          <w:tcPr>
            <w:tcW w:w="3085" w:type="dxa"/>
          </w:tcPr>
          <w:p w14:paraId="27ECFA39" w14:textId="77777777" w:rsidR="006D6646" w:rsidRDefault="00C615D3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14:paraId="494833A0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Tanah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</w:p>
          <w:p w14:paraId="71F14F92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/ordo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  <w:p w14:paraId="51869B0F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merencanakan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</w:t>
            </w:r>
          </w:p>
          <w:p w14:paraId="33F77494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menginventarisasi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peta;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pemetaan</w:t>
            </w:r>
            <w:proofErr w:type="spellEnd"/>
          </w:p>
          <w:p w14:paraId="37401B59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  <w:p w14:paraId="3165E70C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legenda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</w:p>
          <w:p w14:paraId="2D5D764D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</w:p>
          <w:p w14:paraId="759031A0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mendeskrips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  <w:p w14:paraId="37CCB62B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sequence/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factor genesis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  <w:p w14:paraId="437570F4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  <w:p w14:paraId="0B7B189C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  <w:p w14:paraId="0C6BD598" w14:textId="77777777" w:rsidR="006D6646" w:rsidRDefault="00C615D3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</w:tc>
      </w:tr>
    </w:tbl>
    <w:p w14:paraId="013202F0" w14:textId="77777777" w:rsidR="006D6646" w:rsidRDefault="00C615D3">
      <w:pPr>
        <w:pStyle w:val="BodyText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A626A6" wp14:editId="662572CA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606D2" id="Freeform 2" o:spid="_x0000_s1026" style="position:absolute;margin-left:70.85pt;margin-top:15.9pt;width:2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6A761E3" w14:textId="77777777" w:rsidR="006D6646" w:rsidRDefault="00C615D3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calculating contact time, each contact hour is counted as a full hour because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schedule, moving from room to room, and individual questions to lecturers after the class, all mean that about 60 minutes should be counted.</w:t>
      </w:r>
    </w:p>
    <w:p w14:paraId="0E634438" w14:textId="77777777" w:rsidR="006D6646" w:rsidRDefault="00C615D3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Cf. Eur</w:t>
      </w:r>
      <w:r>
        <w:rPr>
          <w:rFonts w:ascii="Times New Roman" w:hAnsi="Times New Roman" w:cs="Times New Roman"/>
          <w:sz w:val="24"/>
          <w:szCs w:val="24"/>
        </w:rPr>
        <w:t xml:space="preserve">opean Commission: Proposal for a Recommendation of the European Parliament and the European Council on the establishment of the European Qualifications Framework for lifelong learning, COM(2006)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479 </w:t>
      </w:r>
      <w:r>
        <w:rPr>
          <w:rFonts w:ascii="Times New Roman" w:hAnsi="Times New Roman" w:cs="Times New Roman"/>
          <w:sz w:val="24"/>
          <w:szCs w:val="24"/>
        </w:rPr>
        <w:t>final, 2006/0163 (COD), Brussels 05/09(2006.</w:t>
      </w:r>
    </w:p>
    <w:p w14:paraId="113CD603" w14:textId="77777777" w:rsidR="006D6646" w:rsidRDefault="006D6646">
      <w:pPr>
        <w:jc w:val="both"/>
        <w:rPr>
          <w:rFonts w:ascii="Times New Roman" w:hAnsi="Times New Roman" w:cs="Times New Roman"/>
          <w:sz w:val="24"/>
          <w:szCs w:val="24"/>
        </w:rPr>
        <w:sectPr w:rsidR="006D6646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047"/>
      </w:tblGrid>
      <w:tr w:rsidR="006D6646" w14:paraId="0F34D4F8" w14:textId="77777777">
        <w:trPr>
          <w:trHeight w:val="614"/>
        </w:trPr>
        <w:tc>
          <w:tcPr>
            <w:tcW w:w="3085" w:type="dxa"/>
          </w:tcPr>
          <w:p w14:paraId="65EAF75F" w14:textId="77777777" w:rsidR="006D6646" w:rsidRDefault="00C615D3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6047" w:type="dxa"/>
          </w:tcPr>
          <w:p w14:paraId="0220DFE4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  <w:p w14:paraId="4239E247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Tanah dan</w:t>
            </w:r>
          </w:p>
          <w:p w14:paraId="41AA9D54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  <w:p w14:paraId="496280B3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Sifat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ordo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</w:p>
          <w:p w14:paraId="62F01D0E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</w:t>
            </w:r>
          </w:p>
          <w:p w14:paraId="30978D9C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inventarisasi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pemetaan</w:t>
            </w:r>
            <w:proofErr w:type="spellEnd"/>
          </w:p>
          <w:p w14:paraId="41206640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14:paraId="12FF7128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</w:p>
          <w:p w14:paraId="6CA4BF14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peta</w:t>
            </w:r>
          </w:p>
          <w:p w14:paraId="07436146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Utama</w:t>
            </w:r>
          </w:p>
          <w:p w14:paraId="3EF76969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factor, genesis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</w:p>
          <w:p w14:paraId="3493B6B7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Karakter, kualitas dan keseuaian lahan</w:t>
            </w:r>
          </w:p>
          <w:p w14:paraId="21D54E98" w14:textId="77777777" w:rsidR="006D6646" w:rsidRDefault="00C615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</w:tc>
      </w:tr>
      <w:tr w:rsidR="006D6646" w14:paraId="638001CB" w14:textId="77777777">
        <w:trPr>
          <w:trHeight w:val="913"/>
        </w:trPr>
        <w:tc>
          <w:tcPr>
            <w:tcW w:w="3085" w:type="dxa"/>
          </w:tcPr>
          <w:p w14:paraId="78DAE6F6" w14:textId="77777777" w:rsidR="006D6646" w:rsidRDefault="00C615D3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and examination</w:t>
            </w:r>
          </w:p>
          <w:p w14:paraId="00DB6667" w14:textId="77777777" w:rsidR="006D6646" w:rsidRDefault="00C615D3">
            <w:pPr>
              <w:pStyle w:val="TableParagraph"/>
              <w:spacing w:before="0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 and forms of examination</w:t>
            </w:r>
          </w:p>
        </w:tc>
        <w:tc>
          <w:tcPr>
            <w:tcW w:w="6047" w:type="dxa"/>
          </w:tcPr>
          <w:p w14:paraId="7BF43AC8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/UTS/UAS</w:t>
            </w:r>
          </w:p>
        </w:tc>
      </w:tr>
      <w:tr w:rsidR="006D6646" w14:paraId="5AC71C86" w14:textId="77777777">
        <w:trPr>
          <w:trHeight w:val="407"/>
        </w:trPr>
        <w:tc>
          <w:tcPr>
            <w:tcW w:w="3085" w:type="dxa"/>
          </w:tcPr>
          <w:p w14:paraId="40D1A6C8" w14:textId="77777777" w:rsidR="006D6646" w:rsidRDefault="00C615D3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6047" w:type="dxa"/>
          </w:tcPr>
          <w:p w14:paraId="45F81EEC" w14:textId="77777777" w:rsidR="006D6646" w:rsidRDefault="00C615D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Text, Presentation,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picture,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Visual &amp; Audio Web.</w:t>
            </w:r>
          </w:p>
        </w:tc>
      </w:tr>
      <w:tr w:rsidR="006D6646" w14:paraId="329AF2D3" w14:textId="77777777">
        <w:trPr>
          <w:trHeight w:val="407"/>
        </w:trPr>
        <w:tc>
          <w:tcPr>
            <w:tcW w:w="3085" w:type="dxa"/>
          </w:tcPr>
          <w:p w14:paraId="239E23E3" w14:textId="77777777" w:rsidR="006D6646" w:rsidRDefault="00C615D3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list</w:t>
            </w:r>
          </w:p>
        </w:tc>
        <w:tc>
          <w:tcPr>
            <w:tcW w:w="6047" w:type="dxa"/>
          </w:tcPr>
          <w:p w14:paraId="04D381D4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Buol, S.W., F.D. Hole and R.J. Cracken. 1980. Soil Genesis and Classification. The Iowa State Univ. Press. Ames. 360 p</w:t>
            </w:r>
          </w:p>
          <w:p w14:paraId="412844A2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Djaenudin, D. et al. 1984. Kesesuaian Lahan untuk Tanaman Pertanian dan Tanaman Kehutanan.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Puslittanak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Bogor. </w:t>
            </w:r>
          </w:p>
          <w:p w14:paraId="40DDD18B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Birkeland, P.W. 1974. Pedology, Weathering, and Geomorphological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Research.Oxford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Univ. Press. New York. Oxford</w:t>
            </w:r>
          </w:p>
          <w:p w14:paraId="18BCA168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FAO. 1952. Land Classification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Agricultural Development. FAO of United Nations. Rome.</w:t>
            </w:r>
          </w:p>
          <w:p w14:paraId="1788D971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FAO. 1976. A Framework for Land Evaluation. PO BOX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Wageningen.The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Netherland.</w:t>
            </w:r>
          </w:p>
          <w:p w14:paraId="780A828A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Mohr, E.C.J., Baren, F.A&amp;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Schuylenborg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1972. Tropical Soils: A. Comprehensive Study of Their Genesis.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karta.</w:t>
            </w:r>
          </w:p>
          <w:p w14:paraId="463ED4B4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Notohadiprawiro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1983.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Ciri Tanah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Ghalia Indonesia. 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</w:p>
          <w:p w14:paraId="7372DEDF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Siefferman, R.G. 1973. Sols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Volvaniques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Cameroun. State Doc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 Sci. Strasbourg.</w:t>
            </w:r>
          </w:p>
          <w:p w14:paraId="18DCF6EB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Soil Survey Staff. 1998. Keys to Soil Taxonomy.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.Natural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Resources Conservation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94A0B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Wambeke, A. 1992. Soil of The Tropics. McGraw Hill, Inc., New York. 343 p</w:t>
            </w:r>
          </w:p>
          <w:p w14:paraId="499A7C6F" w14:textId="77777777" w:rsidR="006D6646" w:rsidRDefault="00C615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576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Wilding, L.P., Smeck, N.E &amp; G.F. Hall. 1983. Pedogenesis and Soil Taxonomy, Concepts and Interpretations. Development in Soil Science.</w:t>
            </w:r>
          </w:p>
          <w:p w14:paraId="46A492A7" w14:textId="77777777" w:rsidR="006D6646" w:rsidRDefault="006D6646">
            <w:pPr>
              <w:pStyle w:val="TableParagraph"/>
              <w:spacing w:before="0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7D62608A" w14:textId="77777777" w:rsidR="006D6646" w:rsidRDefault="006D6646">
      <w:pPr>
        <w:rPr>
          <w:rFonts w:ascii="Times New Roman" w:hAnsi="Times New Roman" w:cs="Times New Roman"/>
          <w:sz w:val="24"/>
          <w:szCs w:val="24"/>
        </w:rPr>
      </w:pPr>
    </w:p>
    <w:p w14:paraId="421E90CF" w14:textId="77777777" w:rsidR="006D6646" w:rsidRDefault="006D6646">
      <w:pPr>
        <w:rPr>
          <w:rFonts w:ascii="Times New Roman" w:hAnsi="Times New Roman" w:cs="Times New Roman"/>
          <w:sz w:val="24"/>
          <w:szCs w:val="24"/>
        </w:rPr>
      </w:pPr>
    </w:p>
    <w:sectPr w:rsidR="006D664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D4FD"/>
    <w:multiLevelType w:val="singleLevel"/>
    <w:tmpl w:val="319BD4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3AE82161"/>
    <w:multiLevelType w:val="multilevel"/>
    <w:tmpl w:val="3AE82161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2B7A9F"/>
    <w:multiLevelType w:val="multilevel"/>
    <w:tmpl w:val="4F2B7A9F"/>
    <w:lvl w:ilvl="0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3" w15:restartNumberingAfterBreak="0">
    <w:nsid w:val="5F1E4C16"/>
    <w:multiLevelType w:val="multilevel"/>
    <w:tmpl w:val="5F1E4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0A"/>
    <w:rsid w:val="000A24EA"/>
    <w:rsid w:val="000E6502"/>
    <w:rsid w:val="00123F2F"/>
    <w:rsid w:val="001611D6"/>
    <w:rsid w:val="00321546"/>
    <w:rsid w:val="00355B3C"/>
    <w:rsid w:val="004F5A24"/>
    <w:rsid w:val="0050711E"/>
    <w:rsid w:val="005910E9"/>
    <w:rsid w:val="005D696E"/>
    <w:rsid w:val="00604B41"/>
    <w:rsid w:val="00685424"/>
    <w:rsid w:val="006D6646"/>
    <w:rsid w:val="0077668E"/>
    <w:rsid w:val="007849EE"/>
    <w:rsid w:val="007F675A"/>
    <w:rsid w:val="0081307B"/>
    <w:rsid w:val="009632D9"/>
    <w:rsid w:val="009E0D59"/>
    <w:rsid w:val="00AB1551"/>
    <w:rsid w:val="00AB40E9"/>
    <w:rsid w:val="00B21844"/>
    <w:rsid w:val="00C615D3"/>
    <w:rsid w:val="00CC21FB"/>
    <w:rsid w:val="00CE63AC"/>
    <w:rsid w:val="00D32CC6"/>
    <w:rsid w:val="00D73F07"/>
    <w:rsid w:val="00D80AF1"/>
    <w:rsid w:val="00E25DCC"/>
    <w:rsid w:val="00E65223"/>
    <w:rsid w:val="00F4600A"/>
    <w:rsid w:val="00FF2D24"/>
    <w:rsid w:val="3F2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06E016"/>
  <w15:docId w15:val="{95CB05D6-23ED-4148-A37F-72B86EA7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14</cp:revision>
  <dcterms:created xsi:type="dcterms:W3CDTF">2020-11-12T08:23:00Z</dcterms:created>
  <dcterms:modified xsi:type="dcterms:W3CDTF">2021-03-16T04:57:00Z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KSOProductBuildVer">
    <vt:lpwstr>1033-11.2.0.9747</vt:lpwstr>
  </property>
</Properties>
</file>