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0A" w:rsidRPr="003A445E" w:rsidRDefault="00E25DCC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3A445E">
        <w:rPr>
          <w:rFonts w:ascii="Times New Roman" w:hAnsi="Times New Roman" w:cs="Times New Roman"/>
          <w:color w:val="000080"/>
          <w:sz w:val="24"/>
          <w:szCs w:val="24"/>
        </w:rPr>
        <w:t>Example form for Module Handbook</w:t>
      </w:r>
    </w:p>
    <w:p w:rsidR="00F4600A" w:rsidRPr="003A445E" w:rsidRDefault="00E25DCC">
      <w:pPr>
        <w:spacing w:before="120"/>
        <w:ind w:left="116"/>
        <w:rPr>
          <w:rFonts w:ascii="Times New Roman" w:hAnsi="Times New Roman" w:cs="Times New Roman"/>
          <w:sz w:val="24"/>
          <w:szCs w:val="24"/>
        </w:rPr>
      </w:pPr>
      <w:r w:rsidRPr="003A445E">
        <w:rPr>
          <w:rFonts w:ascii="Times New Roman" w:hAnsi="Times New Roman" w:cs="Times New Roman"/>
          <w:sz w:val="24"/>
          <w:szCs w:val="24"/>
        </w:rPr>
        <w:t xml:space="preserve">A </w:t>
      </w:r>
      <w:r w:rsidRPr="003A445E">
        <w:rPr>
          <w:rFonts w:ascii="Times New Roman" w:hAnsi="Times New Roman" w:cs="Times New Roman"/>
          <w:b/>
          <w:sz w:val="24"/>
          <w:szCs w:val="24"/>
        </w:rPr>
        <w:t xml:space="preserve">Module Handbook or collection of module descriptions that is also available for students to consult </w:t>
      </w:r>
      <w:r w:rsidRPr="003A445E">
        <w:rPr>
          <w:rFonts w:ascii="Times New Roman" w:hAnsi="Times New Roman" w:cs="Times New Roman"/>
          <w:sz w:val="24"/>
          <w:szCs w:val="24"/>
        </w:rPr>
        <w:t>should contain the following information about the individual modules:</w:t>
      </w:r>
    </w:p>
    <w:p w:rsidR="00F4600A" w:rsidRPr="003A445E" w:rsidRDefault="00F4600A">
      <w:pPr>
        <w:pStyle w:val="BodyText"/>
        <w:spacing w:before="5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Module designation</w:t>
            </w:r>
          </w:p>
        </w:tc>
        <w:tc>
          <w:tcPr>
            <w:tcW w:w="6047" w:type="dxa"/>
          </w:tcPr>
          <w:p w:rsidR="00F4600A" w:rsidRPr="003A445E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 </w:t>
            </w:r>
            <w:r w:rsidR="00B574D4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Genesis </w:t>
            </w:r>
            <w:proofErr w:type="spellStart"/>
            <w:r w:rsidR="00B574D4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="00B574D4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574D4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Klasifikasi</w:t>
            </w:r>
            <w:proofErr w:type="spellEnd"/>
            <w:r w:rsidR="00B574D4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Tanah</w:t>
            </w:r>
          </w:p>
          <w:p w:rsidR="001611D6" w:rsidRPr="003A445E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Module level, if applicable</w:t>
            </w:r>
          </w:p>
        </w:tc>
        <w:tc>
          <w:tcPr>
            <w:tcW w:w="6047" w:type="dxa"/>
          </w:tcPr>
          <w:p w:rsidR="00F4600A" w:rsidRPr="003A445E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="003A445E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 xml:space="preserve">Bachelor </w:t>
            </w:r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Code, if applicable</w:t>
            </w:r>
          </w:p>
        </w:tc>
        <w:tc>
          <w:tcPr>
            <w:tcW w:w="6047" w:type="dxa"/>
          </w:tcPr>
          <w:p w:rsidR="00F4600A" w:rsidRPr="003A445E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="008A182C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PNT2108</w:t>
            </w:r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Subtitle, if applicable</w:t>
            </w:r>
          </w:p>
        </w:tc>
        <w:tc>
          <w:tcPr>
            <w:tcW w:w="6047" w:type="dxa"/>
          </w:tcPr>
          <w:p w:rsidR="00F4600A" w:rsidRPr="003A445E" w:rsidRDefault="00F4600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Courses, if applicable</w:t>
            </w:r>
          </w:p>
        </w:tc>
        <w:tc>
          <w:tcPr>
            <w:tcW w:w="6047" w:type="dxa"/>
          </w:tcPr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1. Introduction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2. The process of weathering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3. Transformation and translocation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4. The role of humans in soil genesis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5. Secondary mineral formation and stability in view of time and environmental changes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6. Colloidal soil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7. Soil acidification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8. Formation of the diagnostic horizon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9. Nomenclature of the diagnostic horizon and its specifications</w:t>
            </w:r>
          </w:p>
          <w:p w:rsidR="003A445E" w:rsidRPr="003A445E" w:rsidRDefault="003A445E" w:rsidP="003A445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Genesis and specific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tanha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classifications</w:t>
            </w:r>
          </w:p>
          <w:p w:rsidR="00F4600A" w:rsidRPr="003A445E" w:rsidRDefault="003A445E" w:rsidP="003A445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11. Practical implications of genesis and soil classification (group discussion)</w:t>
            </w:r>
          </w:p>
        </w:tc>
      </w:tr>
      <w:tr w:rsidR="00F4600A" w:rsidRPr="003A445E">
        <w:trPr>
          <w:trHeight w:val="660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Semester(s)</w:t>
            </w: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ab/>
              <w:t>in</w:t>
            </w: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ab/>
              <w:t>which</w:t>
            </w: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4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the </w:t>
            </w: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module is taught</w:t>
            </w:r>
          </w:p>
        </w:tc>
        <w:tc>
          <w:tcPr>
            <w:tcW w:w="6047" w:type="dxa"/>
          </w:tcPr>
          <w:p w:rsidR="00F4600A" w:rsidRPr="003A445E" w:rsidRDefault="001611D6" w:rsidP="003A445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="003A445E">
              <w:rPr>
                <w:rFonts w:ascii="Times New Roman" w:hAnsi="Times New Roman" w:cs="Times New Roman"/>
                <w:i/>
                <w:sz w:val="24"/>
                <w:szCs w:val="24"/>
              </w:rPr>
              <w:t>uneven</w:t>
            </w:r>
          </w:p>
        </w:tc>
      </w:tr>
      <w:tr w:rsidR="00F4600A" w:rsidRPr="003A445E">
        <w:trPr>
          <w:trHeight w:val="660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Person responsible for the module</w:t>
            </w:r>
          </w:p>
        </w:tc>
        <w:tc>
          <w:tcPr>
            <w:tcW w:w="6047" w:type="dxa"/>
          </w:tcPr>
          <w:p w:rsidR="008A182C" w:rsidRPr="003A445E" w:rsidRDefault="008A182C" w:rsidP="008A182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Makruf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Nurudin</w:t>
            </w:r>
            <w:proofErr w:type="gram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,S.P</w:t>
            </w:r>
            <w:proofErr w:type="spellEnd"/>
            <w:proofErr w:type="gram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., M.P.</w:t>
            </w:r>
          </w:p>
          <w:p w:rsidR="00F4600A" w:rsidRPr="003A445E" w:rsidRDefault="00F4600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6047" w:type="dxa"/>
          </w:tcPr>
          <w:p w:rsidR="008A182C" w:rsidRPr="003A445E" w:rsidRDefault="0081307B" w:rsidP="008A182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="008A182C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</w:t>
            </w:r>
            <w:proofErr w:type="spellStart"/>
            <w:r w:rsidR="008A182C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Makruf</w:t>
            </w:r>
            <w:proofErr w:type="spellEnd"/>
            <w:r w:rsidR="008A182C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A182C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Nurudin</w:t>
            </w:r>
            <w:proofErr w:type="gramStart"/>
            <w:r w:rsidR="008A182C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,S.P</w:t>
            </w:r>
            <w:proofErr w:type="spellEnd"/>
            <w:proofErr w:type="gramEnd"/>
            <w:r w:rsidR="008A182C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., M.P.</w:t>
            </w:r>
          </w:p>
          <w:p w:rsidR="0081307B" w:rsidRPr="003A445E" w:rsidRDefault="0081307B" w:rsidP="008A182C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6047" w:type="dxa"/>
          </w:tcPr>
          <w:p w:rsidR="00F4600A" w:rsidRPr="003A445E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Bahasa/Indonesian</w:t>
            </w:r>
            <w:r w:rsidR="00E65223"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language</w:t>
            </w:r>
          </w:p>
        </w:tc>
      </w:tr>
      <w:tr w:rsidR="00F4600A" w:rsidRPr="003A445E">
        <w:trPr>
          <w:trHeight w:val="844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Relation to curriculum</w:t>
            </w:r>
          </w:p>
        </w:tc>
        <w:tc>
          <w:tcPr>
            <w:tcW w:w="6047" w:type="dxa"/>
          </w:tcPr>
          <w:p w:rsidR="00F4600A" w:rsidRPr="003A445E" w:rsidRDefault="0050711E" w:rsidP="0050711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</w:t>
            </w:r>
            <w:proofErr w:type="spellStart"/>
            <w:r w:rsidR="001611D6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ompulsory</w:t>
            </w:r>
            <w:proofErr w:type="spellEnd"/>
          </w:p>
        </w:tc>
      </w:tr>
      <w:tr w:rsidR="00F4600A" w:rsidRPr="003A445E">
        <w:trPr>
          <w:trHeight w:val="660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Type of teaching, contact hours</w:t>
            </w:r>
          </w:p>
        </w:tc>
        <w:tc>
          <w:tcPr>
            <w:tcW w:w="6047" w:type="dxa"/>
          </w:tcPr>
          <w:p w:rsidR="00F4600A" w:rsidRPr="003A445E" w:rsidRDefault="004F5A24" w:rsidP="0050711E">
            <w:pPr>
              <w:pStyle w:val="TableParagraph"/>
              <w:ind w:right="103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E25DCC"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ecture, practical, </w:t>
            </w:r>
            <w:r w:rsidR="0050711E"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presentation</w:t>
            </w:r>
          </w:p>
        </w:tc>
      </w:tr>
      <w:tr w:rsidR="00F4600A" w:rsidRPr="003A445E">
        <w:trPr>
          <w:trHeight w:val="844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Workload</w:t>
            </w:r>
          </w:p>
        </w:tc>
        <w:tc>
          <w:tcPr>
            <w:tcW w:w="6047" w:type="dxa"/>
          </w:tcPr>
          <w:p w:rsidR="009632D9" w:rsidRPr="003A445E" w:rsidRDefault="00B45940" w:rsidP="00827D15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3,02/1,51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ects</w:t>
            </w:r>
            <w:proofErr w:type="spellEnd"/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Credit points</w:t>
            </w:r>
          </w:p>
        </w:tc>
        <w:tc>
          <w:tcPr>
            <w:tcW w:w="6047" w:type="dxa"/>
          </w:tcPr>
          <w:p w:rsidR="00F4600A" w:rsidRPr="003A445E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2/1</w:t>
            </w:r>
          </w:p>
        </w:tc>
      </w:tr>
      <w:tr w:rsidR="00F4600A" w:rsidRPr="003A445E">
        <w:trPr>
          <w:trHeight w:val="660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Requirements according to the examination regulations</w:t>
            </w:r>
          </w:p>
        </w:tc>
        <w:tc>
          <w:tcPr>
            <w:tcW w:w="6047" w:type="dxa"/>
          </w:tcPr>
          <w:p w:rsidR="00A5363F" w:rsidRPr="003A445E" w:rsidRDefault="00A5363F" w:rsidP="00A5363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Presence must be 70% of all meetings</w:t>
            </w:r>
          </w:p>
          <w:p w:rsidR="00FF2D24" w:rsidRPr="003A445E" w:rsidRDefault="00A5363F" w:rsidP="00A5363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Has to accomplished all the assignments</w:t>
            </w:r>
          </w:p>
        </w:tc>
      </w:tr>
      <w:tr w:rsidR="00F4600A" w:rsidRPr="003A445E">
        <w:trPr>
          <w:trHeight w:val="408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Recommended prerequisites</w:t>
            </w:r>
          </w:p>
        </w:tc>
        <w:tc>
          <w:tcPr>
            <w:tcW w:w="6047" w:type="dxa"/>
          </w:tcPr>
          <w:p w:rsidR="00F4600A" w:rsidRPr="003A445E" w:rsidRDefault="001611D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-</w:t>
            </w:r>
          </w:p>
        </w:tc>
      </w:tr>
      <w:tr w:rsidR="00F4600A" w:rsidRPr="003A445E">
        <w:trPr>
          <w:trHeight w:val="3084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Module objectives/intended learning outcomes</w:t>
            </w:r>
          </w:p>
        </w:tc>
        <w:tc>
          <w:tcPr>
            <w:tcW w:w="6047" w:type="dxa"/>
          </w:tcPr>
          <w:p w:rsidR="008A182C" w:rsidRPr="003A445E" w:rsidRDefault="008A182C" w:rsidP="008A182C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Mahasiswa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diharapkan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dapat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menjelaskan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proses genesis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proses </w:t>
            </w:r>
            <w:bookmarkStart w:id="0" w:name="_GoBack"/>
            <w:bookmarkEnd w:id="0"/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pelapukan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secara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fisik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kimia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biologi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proses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translokasi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transformasi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kondisi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aerob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anaerob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82C" w:rsidRPr="003A445E" w:rsidRDefault="008A182C" w:rsidP="008A182C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Menjelaskan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peran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manusia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proses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koloidal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proses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pemasaman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82C" w:rsidRPr="003A445E" w:rsidRDefault="008A182C" w:rsidP="008A182C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Menjelaskan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proses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perkembangan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nomenklatur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Mahasiswa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akan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dapat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menjelaskan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konsep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dasar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aplikasi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proses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dna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klasifikasi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yang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meliputi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proses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pelapukan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translokasi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transformasi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peran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manusia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mineral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sekunder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stabilitasinya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koloidal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morfolgi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horizon diagnostic,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nomenklatur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horizon diagnostic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spesifikasinya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sistem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klasifikasi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genesis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klasifikasi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khusus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. horizon diagnostic</w:t>
            </w:r>
          </w:p>
          <w:p w:rsidR="008A182C" w:rsidRPr="003A445E" w:rsidRDefault="008A182C" w:rsidP="008A182C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Menjelaskan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sistem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klasifikasi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yang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diterapkan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 Indonesia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menurut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PPT, USDA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FAO</w:t>
            </w:r>
          </w:p>
          <w:p w:rsidR="008A182C" w:rsidRPr="003A445E" w:rsidRDefault="008A182C" w:rsidP="008A182C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Menjelaskan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proses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spesifik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implikasi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praktis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genesis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klasifiasi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307B" w:rsidRPr="003A445E" w:rsidRDefault="0081307B" w:rsidP="008A182C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600A" w:rsidRPr="003A445E" w:rsidRDefault="00FF2D24">
      <w:pPr>
        <w:pStyle w:val="BodyText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3A44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80"/>
                            <a:gd name="T2" fmla="+- 0 4297 141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E0F9" id="Freeform 2" o:spid="_x0000_s1026" style="position:absolute;margin-left:70.85pt;margin-top:15.9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To/wIAAKQGAAAOAAAAZHJzL2Uyb0RvYy54bWysVW1v0zAQ/o7Ef7D8EdTlZWF90dJpalaE&#10;NGDSyg9wE6eJSGxju00H4r9zPidd24GEEPmQ2rnzc88957te3+zbhuy4NrUUKY0uQkq4yGVRi01K&#10;v6yWowklxjJRsEYKntInbujN/PWr607NeCwr2RRcEwARZtaplFbWqlkQmLziLTMXUnEBxlLqllnY&#10;6k1QaNYBetsEcRheBZ3UhdIy58bA18wb6Rzxy5Ln9nNZGm5Jk1LgZvGt8b1272B+zWYbzVRV5z0N&#10;9g8sWlYLCHqAyphlZKvrF1BtnWtpZGkvctkGsizrnGMOkE0UnmXzWDHFMRcQx6iDTOb/weafdg+a&#10;1AXUjhLBWijRUnPuBCexU6dTZgZOj+pBu/yMupf5VwOG4MTiNgZ8yLr7KAtAYVsrUZF9qVt3EnIl&#10;exT+6SA831uSw8doEk8mIdQnB1sUj7EuAZsNZ/Otse+5RBy2uzfWl62AFYpe9NRXAFG2DVTw7YiE&#10;JEqiMb76Mh/cIFfv9iYgq5B0xIU/d4oHJ8RK4unvsS4HN4cVH2EB/83AkFUD6XwvetawIsy1SYg6&#10;KWmcPivgNggECODkMvyDL8Q+9/Vn+hAa7v/5zdeUwM1f+2wVs46ZC+GWpEspSuE+tHLHVxJN9qxy&#10;EOTZ2ohjLzx+zMqb4YQLANfGLzCo43pUWSGXddNgaRvhqEyjJEFtjGzqwhkdG6M360WjyY65nsbH&#10;JQNgJ25KG5sxU3k/NPmctdyKAqNUnBV3/dqyuvFrAGpQdLidvTbunmI3/5iG07vJ3SQZJfHV3SgJ&#10;s2x0u1wko6tlNH6XXWaLRRb9dJyjZFbVRcGFoz1Mlij5u87tZ5yfCYfZcpLeiQpLfF6qEJzSQJEg&#10;l+HXF2FoXd/ra1k8QRtr6UcljHZYVFJ/p6SDMZlS823LNKek+SBgDrkSubmKm+TdOIaNPrasjy1M&#10;5ACVUkvh5rvlwvpZvFW63lQQKcJ6C3kL46OsXZ/jnPGs+g2MQsygH9tu1h7v0ev5z2X+CwAA//8D&#10;AFBLAwQUAAYACAAAACEAJaykf90AAAAJAQAADwAAAGRycy9kb3ducmV2LnhtbEyPwU7DMBBE70j8&#10;g7VI3KiTNNAS4lSoEgL1UihVz068OBHxOordNv17lhMcZ/ZpdqZcTa4XJxxD50lBOktAIDXedGQV&#10;7D9f7pYgQtRkdO8JFVwwwKq6vip1YfyZPvC0i1ZwCIVCK2hjHAopQ9Oi02HmByS+ffnR6chytNKM&#10;+szhrpdZkjxIpzviD60ecN1i8707OgUUD/vXzbvc3L8t7JTP67Xf2otStzfT8xOIiFP8g+G3PleH&#10;ijvV/kgmiJ51ni4YVTBPeQIDefbIRs1GloCsSvl/QfUDAAD//wMAUEsBAi0AFAAGAAgAAAAhALaD&#10;OJL+AAAA4QEAABMAAAAAAAAAAAAAAAAAAAAAAFtDb250ZW50X1R5cGVzXS54bWxQSwECLQAUAAYA&#10;CAAAACEAOP0h/9YAAACUAQAACwAAAAAAAAAAAAAAAAAvAQAAX3JlbHMvLnJlbHNQSwECLQAUAAYA&#10;CAAAACEADTnE6P8CAACkBgAADgAAAAAAAAAAAAAAAAAuAgAAZHJzL2Uyb0RvYy54bWxQSwECLQAU&#10;AAYACAAAACEAJaykf90AAAAJAQAADwAAAAAAAAAAAAAAAABZBQAAZHJzL2Rvd25yZXYueG1sUEsF&#10;BgAAAAAEAAQA8wAAAGM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4600A" w:rsidRPr="003A445E" w:rsidRDefault="00E25DCC">
      <w:pPr>
        <w:pStyle w:val="ListParagraph"/>
        <w:numPr>
          <w:ilvl w:val="0"/>
          <w:numId w:val="2"/>
        </w:numPr>
        <w:tabs>
          <w:tab w:val="left" w:pos="414"/>
        </w:tabs>
        <w:spacing w:before="98"/>
        <w:ind w:hanging="227"/>
        <w:rPr>
          <w:rFonts w:ascii="Times New Roman" w:hAnsi="Times New Roman" w:cs="Times New Roman"/>
          <w:sz w:val="24"/>
          <w:szCs w:val="24"/>
        </w:rPr>
      </w:pPr>
      <w:r w:rsidRPr="003A445E">
        <w:rPr>
          <w:rFonts w:ascii="Times New Roman" w:hAnsi="Times New Roman" w:cs="Times New Roman"/>
          <w:sz w:val="24"/>
          <w:szCs w:val="24"/>
        </w:rPr>
        <w:tab/>
        <w:t xml:space="preserve">When calculating contact time, each contact hour is counted as a full hour because the </w:t>
      </w:r>
      <w:proofErr w:type="spellStart"/>
      <w:r w:rsidRPr="003A445E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3A445E">
        <w:rPr>
          <w:rFonts w:ascii="Times New Roman" w:hAnsi="Times New Roman" w:cs="Times New Roman"/>
          <w:sz w:val="24"/>
          <w:szCs w:val="24"/>
        </w:rPr>
        <w:t xml:space="preserve"> of </w:t>
      </w:r>
      <w:r w:rsidRPr="003A445E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A445E">
        <w:rPr>
          <w:rFonts w:ascii="Times New Roman" w:hAnsi="Times New Roman" w:cs="Times New Roman"/>
          <w:sz w:val="24"/>
          <w:szCs w:val="24"/>
        </w:rPr>
        <w:t>schedule, moving from room to room, and individual questions to lecturers after the class, all mean that about 60 minutes should be counted.</w:t>
      </w:r>
    </w:p>
    <w:p w:rsidR="00F4600A" w:rsidRPr="003A445E" w:rsidRDefault="00E25DCC">
      <w:pPr>
        <w:pStyle w:val="ListParagraph"/>
        <w:numPr>
          <w:ilvl w:val="0"/>
          <w:numId w:val="2"/>
        </w:numPr>
        <w:tabs>
          <w:tab w:val="left" w:pos="415"/>
        </w:tabs>
        <w:ind w:hanging="227"/>
        <w:rPr>
          <w:rFonts w:ascii="Times New Roman" w:hAnsi="Times New Roman" w:cs="Times New Roman"/>
          <w:sz w:val="24"/>
          <w:szCs w:val="24"/>
        </w:rPr>
      </w:pPr>
      <w:r w:rsidRPr="003A445E">
        <w:rPr>
          <w:rFonts w:ascii="Times New Roman" w:hAnsi="Times New Roman" w:cs="Times New Roman"/>
          <w:sz w:val="24"/>
          <w:szCs w:val="24"/>
        </w:rPr>
        <w:tab/>
        <w:t xml:space="preserve">Cf. European Commission: Proposal for a Recommendation of the European Parliament and the European Council on the establishment of the European Qualifications Framework for lifelong learning, </w:t>
      </w:r>
      <w:proofErr w:type="gramStart"/>
      <w:r w:rsidRPr="003A445E">
        <w:rPr>
          <w:rFonts w:ascii="Times New Roman" w:hAnsi="Times New Roman" w:cs="Times New Roman"/>
          <w:sz w:val="24"/>
          <w:szCs w:val="24"/>
        </w:rPr>
        <w:t>COM(</w:t>
      </w:r>
      <w:proofErr w:type="gramEnd"/>
      <w:r w:rsidRPr="003A445E">
        <w:rPr>
          <w:rFonts w:ascii="Times New Roman" w:hAnsi="Times New Roman" w:cs="Times New Roman"/>
          <w:sz w:val="24"/>
          <w:szCs w:val="24"/>
        </w:rPr>
        <w:t xml:space="preserve">2006) </w:t>
      </w:r>
      <w:r w:rsidRPr="003A445E">
        <w:rPr>
          <w:rFonts w:ascii="Times New Roman" w:hAnsi="Times New Roman" w:cs="Times New Roman"/>
          <w:spacing w:val="-5"/>
          <w:sz w:val="24"/>
          <w:szCs w:val="24"/>
        </w:rPr>
        <w:t xml:space="preserve">479 </w:t>
      </w:r>
      <w:r w:rsidRPr="003A445E">
        <w:rPr>
          <w:rFonts w:ascii="Times New Roman" w:hAnsi="Times New Roman" w:cs="Times New Roman"/>
          <w:sz w:val="24"/>
          <w:szCs w:val="24"/>
        </w:rPr>
        <w:t>final, 2006/0163 (COD), Brussels 05/09(2006.</w:t>
      </w:r>
    </w:p>
    <w:p w:rsidR="00F4600A" w:rsidRPr="003A445E" w:rsidRDefault="00F4600A">
      <w:pPr>
        <w:jc w:val="both"/>
        <w:rPr>
          <w:rFonts w:ascii="Times New Roman" w:hAnsi="Times New Roman" w:cs="Times New Roman"/>
          <w:sz w:val="24"/>
          <w:szCs w:val="24"/>
        </w:rPr>
        <w:sectPr w:rsidR="00F4600A" w:rsidRPr="003A445E">
          <w:type w:val="continuous"/>
          <w:pgSz w:w="11900" w:h="16820"/>
          <w:pgMar w:top="1580" w:right="124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3A445E">
        <w:trPr>
          <w:trHeight w:val="614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6047" w:type="dxa"/>
          </w:tcPr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Pendahuluan</w:t>
            </w:r>
            <w:proofErr w:type="spellEnd"/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Proses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pelapukan</w:t>
            </w:r>
            <w:proofErr w:type="spellEnd"/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Transformasi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translokasi</w:t>
            </w:r>
            <w:proofErr w:type="spellEnd"/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Peran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manusia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dalam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genesis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tanah</w:t>
            </w:r>
            <w:proofErr w:type="spellEnd"/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mineral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sekunder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kestabilannya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mengingat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waktu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perubahan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lingkungan</w:t>
            </w:r>
            <w:proofErr w:type="spellEnd"/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Koloidal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tanah</w:t>
            </w:r>
            <w:proofErr w:type="spellEnd"/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Pemasaman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tanah</w:t>
            </w:r>
            <w:proofErr w:type="spellEnd"/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Pembentukan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horizon diagnostic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Nomenklatur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horizon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diagnostik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spesifikasinya</w:t>
            </w:r>
            <w:proofErr w:type="spellEnd"/>
          </w:p>
          <w:p w:rsidR="008A182C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Genesis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klasifikasi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tanha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spesifik</w:t>
            </w:r>
            <w:proofErr w:type="spellEnd"/>
          </w:p>
          <w:p w:rsidR="00F4600A" w:rsidRPr="003A445E" w:rsidRDefault="008A182C" w:rsidP="008A182C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Implikasi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praktis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genesis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klasifikasi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tanah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Diskusi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kelompok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</w:tr>
      <w:tr w:rsidR="00F4600A" w:rsidRPr="003A445E">
        <w:trPr>
          <w:trHeight w:val="913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Study and examination</w:t>
            </w:r>
          </w:p>
          <w:p w:rsidR="00F4600A" w:rsidRPr="003A445E" w:rsidRDefault="00E25DCC">
            <w:pPr>
              <w:pStyle w:val="TableParagraph"/>
              <w:spacing w:before="0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requirements and forms of examination</w:t>
            </w:r>
          </w:p>
        </w:tc>
        <w:tc>
          <w:tcPr>
            <w:tcW w:w="6047" w:type="dxa"/>
          </w:tcPr>
          <w:p w:rsidR="00F4600A" w:rsidRPr="003A445E" w:rsidRDefault="009B414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uts/uas</w:t>
            </w:r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Media employed</w:t>
            </w:r>
          </w:p>
        </w:tc>
        <w:tc>
          <w:tcPr>
            <w:tcW w:w="6047" w:type="dxa"/>
          </w:tcPr>
          <w:p w:rsidR="00F4600A" w:rsidRPr="003A445E" w:rsidRDefault="007C606E" w:rsidP="00FF2D2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Menggunakan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media OHP,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papan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tulis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</w:rPr>
              <w:t>, notebook-LCD</w:t>
            </w:r>
          </w:p>
        </w:tc>
      </w:tr>
      <w:tr w:rsidR="00F4600A" w:rsidRPr="003A445E">
        <w:trPr>
          <w:trHeight w:val="407"/>
        </w:trPr>
        <w:tc>
          <w:tcPr>
            <w:tcW w:w="3085" w:type="dxa"/>
          </w:tcPr>
          <w:p w:rsidR="00F4600A" w:rsidRPr="003A445E" w:rsidRDefault="00E25DCC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E">
              <w:rPr>
                <w:rFonts w:ascii="Times New Roman" w:hAnsi="Times New Roman" w:cs="Times New Roman"/>
                <w:sz w:val="24"/>
                <w:szCs w:val="24"/>
              </w:rPr>
              <w:t>Reading list</w:t>
            </w:r>
          </w:p>
        </w:tc>
        <w:tc>
          <w:tcPr>
            <w:tcW w:w="6047" w:type="dxa"/>
          </w:tcPr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2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Buol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S.W., Southard, R.J., Graham, R.C., and McDaniel, P.A. 2003. Soil Genesis and Classification. Fifth edition. Iowa State Press.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2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Isbell, R.F. (Raymond Frederick). 2001. The Australian soil classification. CSIRO PUBLISHING PO Box 1139 (150 Oxford Street) Collingwood, VIC 3066 Australia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450" w:hanging="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Foth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H.D. 1990. Fundamentals of soil science. 8</w:t>
            </w: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>th</w:t>
            </w: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ed. John Wiley S. Son.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450" w:hanging="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Kononova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M. 1966. Soil Organic Matter Its Nature, Its Role in Soil Formation and in Soil Fertility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450" w:hanging="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Miller, R.W</w:t>
            </w:r>
            <w:proofErr w:type="gram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. &amp;</w:t>
            </w:r>
            <w:proofErr w:type="gram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RL. Donahue. 1990. Soils. An Introduction to Soils and Plant Growth. Prentice-Hall New Jersey.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450" w:hanging="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USDA. 2010. Keys to Soil Taxonomy. Eleventh edition.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226" w:hanging="2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USDA. 2009. Soil Taxonomy - A Basic System of Soil Classification for Making and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Intrepeting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Soil Surveys. Second Edition.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226" w:hanging="2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Wilding, L. P.,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Smeck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N.E., and Hall, G.F. 1984.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Pedogenesis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and Soil Taxonomy. Elsevier Science Publisher. New York.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226" w:hanging="2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Eswaran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H., Rice, T., Ahrens, R., and Steward, B.A. 2003. Soil Classification - A Global Desk Reference. CRC Press. Washington.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226" w:hanging="2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Breemen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N., and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Buurman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P. 2003. Soil Formation. Second Edition. Kluwer Academic Publisher. New York.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450" w:hanging="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Certini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G. and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Scalenghe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R. 2006. Soils - Basic Concepts and Future Challenges. Cambridge University Press. UK.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450" w:hanging="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Scaetzel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R. and Anderson, S. 2005. Soils Genesis and Geomorphology. Cambridge University Press. UK.</w:t>
            </w:r>
          </w:p>
          <w:p w:rsidR="008A182C" w:rsidRPr="003A445E" w:rsidRDefault="008A182C" w:rsidP="008A182C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autoSpaceDE/>
              <w:autoSpaceDN/>
              <w:ind w:left="450" w:hanging="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Shoji, S. </w:t>
            </w:r>
            <w:proofErr w:type="spellStart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Nanzyo</w:t>
            </w:r>
            <w:proofErr w:type="spellEnd"/>
            <w:r w:rsidRPr="003A445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M., and Dahlgren, R. 1993. Volcanic Ash Soils - Genesis, Properties, and Utilization. Elsevier</w:t>
            </w:r>
          </w:p>
          <w:p w:rsidR="008A182C" w:rsidRPr="003A445E" w:rsidRDefault="008A182C" w:rsidP="008A182C">
            <w:pPr>
              <w:pStyle w:val="TableParagraph"/>
              <w:ind w:left="346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600A" w:rsidRPr="003A445E" w:rsidRDefault="00F4600A" w:rsidP="0081307B">
            <w:pPr>
              <w:pStyle w:val="TableParagraph"/>
              <w:spacing w:before="0"/>
              <w:ind w:left="346" w:hanging="283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</w:tc>
      </w:tr>
    </w:tbl>
    <w:p w:rsidR="00E25DCC" w:rsidRPr="003A445E" w:rsidRDefault="00E25DCC">
      <w:pPr>
        <w:rPr>
          <w:rFonts w:ascii="Times New Roman" w:hAnsi="Times New Roman" w:cs="Times New Roman"/>
          <w:sz w:val="24"/>
          <w:szCs w:val="24"/>
        </w:rPr>
      </w:pPr>
    </w:p>
    <w:sectPr w:rsidR="00E25DCC" w:rsidRPr="003A445E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2A85D65"/>
    <w:multiLevelType w:val="hybridMultilevel"/>
    <w:tmpl w:val="51746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4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5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0A"/>
    <w:rsid w:val="001611D6"/>
    <w:rsid w:val="00321546"/>
    <w:rsid w:val="00355B3C"/>
    <w:rsid w:val="003A445E"/>
    <w:rsid w:val="004F5A24"/>
    <w:rsid w:val="0050711E"/>
    <w:rsid w:val="0077668E"/>
    <w:rsid w:val="007C606E"/>
    <w:rsid w:val="007F675A"/>
    <w:rsid w:val="0081307B"/>
    <w:rsid w:val="00827D15"/>
    <w:rsid w:val="008A182C"/>
    <w:rsid w:val="009632D9"/>
    <w:rsid w:val="009B414C"/>
    <w:rsid w:val="00A5363F"/>
    <w:rsid w:val="00A76A69"/>
    <w:rsid w:val="00AB1551"/>
    <w:rsid w:val="00B21844"/>
    <w:rsid w:val="00B45940"/>
    <w:rsid w:val="00B574D4"/>
    <w:rsid w:val="00D73F07"/>
    <w:rsid w:val="00D80AF1"/>
    <w:rsid w:val="00E25DCC"/>
    <w:rsid w:val="00E65223"/>
    <w:rsid w:val="00F4600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6D32F-4655-467E-B027-B149B9A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Windows User</cp:lastModifiedBy>
  <cp:revision>7</cp:revision>
  <dcterms:created xsi:type="dcterms:W3CDTF">2020-11-12T09:16:00Z</dcterms:created>
  <dcterms:modified xsi:type="dcterms:W3CDTF">2020-12-07T05:39:00Z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  <property fmtid="{D5CDD505-2E9C-101B-9397-08002B2CF9AE}" pid="3" name="_DocHome">
    <vt:i4>561301300</vt:i4>
  </property>
</Properties>
</file>