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91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85"/>
        <w:gridCol w:w="6047"/>
      </w:tblGrid>
      <w:tr w:rsidR="00C66D2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D28" w:rsidRDefault="006C6B73">
            <w:pPr>
              <w:spacing w:before="80" w:after="80"/>
            </w:pPr>
            <w:r>
              <w:t>Module designation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D28" w:rsidRDefault="006C6B73" w:rsidP="006C6B73">
            <w:pPr>
              <w:spacing w:before="80" w:after="8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Plant Nutrient</w:t>
            </w:r>
          </w:p>
        </w:tc>
      </w:tr>
      <w:tr w:rsidR="00C66D2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D28" w:rsidRDefault="006C6B73">
            <w:pPr>
              <w:spacing w:before="80" w:after="80"/>
            </w:pPr>
            <w:r>
              <w:t>Module level, if applicable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D28" w:rsidRPr="006C6B73" w:rsidRDefault="006C6B73" w:rsidP="006C6B73">
            <w:pPr>
              <w:spacing w:before="80" w:after="80" w:line="240" w:lineRule="auto"/>
              <w:rPr>
                <w:i/>
                <w:sz w:val="20"/>
                <w:szCs w:val="20"/>
                <w:lang w:val="id-ID"/>
              </w:rPr>
            </w:pPr>
            <w:r>
              <w:rPr>
                <w:i/>
                <w:sz w:val="20"/>
                <w:szCs w:val="20"/>
                <w:lang w:val="id-ID"/>
              </w:rPr>
              <w:t>Bachelor</w:t>
            </w:r>
          </w:p>
        </w:tc>
      </w:tr>
      <w:tr w:rsidR="00C66D2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D28" w:rsidRDefault="006C6B73">
            <w:pPr>
              <w:spacing w:before="80" w:after="80"/>
            </w:pPr>
            <w:r>
              <w:t>Code, if applicable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D28" w:rsidRDefault="006C6B73" w:rsidP="006C6B73">
            <w:pPr>
              <w:spacing w:before="80" w:after="80" w:line="240" w:lineRule="auto"/>
              <w:rPr>
                <w:i/>
                <w:sz w:val="20"/>
                <w:szCs w:val="20"/>
              </w:rPr>
            </w:pPr>
            <w:r w:rsidRPr="006C6B73">
              <w:rPr>
                <w:i/>
                <w:sz w:val="20"/>
                <w:szCs w:val="20"/>
              </w:rPr>
              <w:t>PNT20193118</w:t>
            </w:r>
          </w:p>
        </w:tc>
      </w:tr>
      <w:tr w:rsidR="00C66D2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D28" w:rsidRDefault="006C6B73">
            <w:pPr>
              <w:spacing w:before="80" w:after="80"/>
            </w:pPr>
            <w:r>
              <w:t>Subtitle, if applicable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D28" w:rsidRDefault="00C66D28">
            <w:pPr>
              <w:spacing w:before="80" w:after="80"/>
              <w:rPr>
                <w:i/>
                <w:sz w:val="20"/>
                <w:szCs w:val="20"/>
              </w:rPr>
            </w:pPr>
          </w:p>
        </w:tc>
      </w:tr>
      <w:tr w:rsidR="006C6B7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B73" w:rsidRDefault="006C6B73" w:rsidP="006C6B73">
            <w:pPr>
              <w:spacing w:before="80" w:after="80"/>
            </w:pPr>
            <w:r>
              <w:t>Courses, if applicable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B73" w:rsidRDefault="006C6B73" w:rsidP="006C6B7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after="0" w:line="240" w:lineRule="auto"/>
              <w:ind w:left="368" w:hanging="357"/>
              <w:rPr>
                <w:rFonts w:eastAsia="Arial" w:cs="Arial"/>
                <w:i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i/>
                <w:color w:val="000000"/>
                <w:sz w:val="20"/>
                <w:szCs w:val="20"/>
              </w:rPr>
              <w:t>The definition of nutrient</w:t>
            </w:r>
          </w:p>
          <w:p w:rsidR="006C6B73" w:rsidRDefault="006C6B73" w:rsidP="006C6B7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after="0" w:line="240" w:lineRule="auto"/>
              <w:ind w:left="368" w:hanging="357"/>
              <w:rPr>
                <w:rFonts w:eastAsia="Arial" w:cs="Arial"/>
                <w:i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i/>
                <w:color w:val="000000"/>
                <w:sz w:val="20"/>
                <w:szCs w:val="20"/>
              </w:rPr>
              <w:t>Soil as medium</w:t>
            </w:r>
          </w:p>
          <w:p w:rsidR="006C6B73" w:rsidRDefault="006C6B73" w:rsidP="006C6B7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after="0" w:line="240" w:lineRule="auto"/>
              <w:ind w:left="368" w:hanging="357"/>
              <w:rPr>
                <w:rFonts w:eastAsia="Arial" w:cs="Arial"/>
                <w:i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i/>
                <w:color w:val="000000"/>
                <w:sz w:val="20"/>
                <w:szCs w:val="20"/>
              </w:rPr>
              <w:t>Nutrient absorption</w:t>
            </w:r>
          </w:p>
          <w:p w:rsidR="006C6B73" w:rsidRDefault="006C6B73" w:rsidP="006C6B7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after="0" w:line="240" w:lineRule="auto"/>
              <w:ind w:left="368" w:hanging="357"/>
              <w:rPr>
                <w:rFonts w:eastAsia="Arial" w:cs="Arial"/>
                <w:i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i/>
                <w:color w:val="000000"/>
                <w:sz w:val="20"/>
                <w:szCs w:val="20"/>
              </w:rPr>
              <w:t>Macro nutrient</w:t>
            </w:r>
          </w:p>
          <w:p w:rsidR="006C6B73" w:rsidRDefault="006C6B73" w:rsidP="006C6B7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after="0" w:line="240" w:lineRule="auto"/>
              <w:ind w:left="368" w:hanging="357"/>
              <w:rPr>
                <w:rFonts w:eastAsia="Arial" w:cs="Arial"/>
                <w:i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i/>
                <w:color w:val="000000"/>
                <w:sz w:val="20"/>
                <w:szCs w:val="20"/>
              </w:rPr>
              <w:t>Micro nutrient</w:t>
            </w:r>
          </w:p>
          <w:p w:rsidR="006C6B73" w:rsidRDefault="006C6B73" w:rsidP="006C6B7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after="0" w:line="240" w:lineRule="auto"/>
              <w:ind w:left="368" w:hanging="357"/>
              <w:rPr>
                <w:rFonts w:eastAsia="Arial" w:cs="Arial"/>
                <w:i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i/>
                <w:color w:val="000000"/>
                <w:sz w:val="20"/>
                <w:szCs w:val="20"/>
              </w:rPr>
              <w:t>Useful elements</w:t>
            </w:r>
          </w:p>
          <w:p w:rsidR="006C6B73" w:rsidRDefault="006C6B73" w:rsidP="006C6B7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after="0" w:line="240" w:lineRule="auto"/>
              <w:ind w:left="368" w:hanging="357"/>
              <w:rPr>
                <w:rFonts w:eastAsia="Arial" w:cs="Arial"/>
                <w:i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i/>
                <w:color w:val="000000"/>
                <w:sz w:val="20"/>
                <w:szCs w:val="20"/>
              </w:rPr>
              <w:t>Toxic elements</w:t>
            </w:r>
          </w:p>
          <w:p w:rsidR="006C6B73" w:rsidRDefault="006C6B73" w:rsidP="006C6B7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after="0" w:line="240" w:lineRule="auto"/>
              <w:ind w:left="368" w:hanging="357"/>
              <w:rPr>
                <w:rFonts w:eastAsia="Arial" w:cs="Arial"/>
                <w:i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i/>
                <w:color w:val="000000"/>
                <w:sz w:val="20"/>
                <w:szCs w:val="20"/>
              </w:rPr>
              <w:t>The role of microbe</w:t>
            </w:r>
          </w:p>
          <w:p w:rsidR="006C6B73" w:rsidRDefault="006C6B73" w:rsidP="006C6B7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after="0" w:line="240" w:lineRule="auto"/>
              <w:ind w:left="368" w:hanging="357"/>
              <w:rPr>
                <w:rFonts w:eastAsia="Arial" w:cs="Arial"/>
                <w:i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i/>
                <w:color w:val="000000"/>
                <w:sz w:val="20"/>
                <w:szCs w:val="20"/>
              </w:rPr>
              <w:t>Rooting systems</w:t>
            </w:r>
          </w:p>
          <w:p w:rsidR="006C6B73" w:rsidRDefault="006C6B73" w:rsidP="006C6B7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after="0" w:line="240" w:lineRule="auto"/>
              <w:ind w:left="368" w:hanging="357"/>
              <w:rPr>
                <w:rFonts w:eastAsia="Arial" w:cs="Arial"/>
                <w:i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i/>
                <w:color w:val="000000"/>
                <w:sz w:val="20"/>
                <w:szCs w:val="20"/>
              </w:rPr>
              <w:t>Nutrient study</w:t>
            </w:r>
          </w:p>
          <w:p w:rsidR="006C6B73" w:rsidRDefault="006C6B73" w:rsidP="006C6B7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after="0" w:line="240" w:lineRule="auto"/>
              <w:ind w:left="368" w:hanging="357"/>
              <w:rPr>
                <w:rFonts w:eastAsia="Arial" w:cs="Arial"/>
                <w:i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i/>
                <w:color w:val="000000"/>
                <w:sz w:val="20"/>
                <w:szCs w:val="20"/>
              </w:rPr>
              <w:t>The study of plant nutrient content</w:t>
            </w:r>
          </w:p>
          <w:p w:rsidR="006C6B73" w:rsidRDefault="006C6B73" w:rsidP="006C6B7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after="0" w:line="240" w:lineRule="auto"/>
              <w:ind w:left="368" w:hanging="357"/>
              <w:rPr>
                <w:rFonts w:eastAsia="Arial" w:cs="Arial"/>
                <w:i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i/>
                <w:color w:val="000000"/>
                <w:sz w:val="20"/>
                <w:szCs w:val="20"/>
              </w:rPr>
              <w:t>Nutrient management</w:t>
            </w:r>
          </w:p>
        </w:tc>
      </w:tr>
      <w:tr w:rsidR="006C6B7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B73" w:rsidRDefault="006C6B73" w:rsidP="006C6B73">
            <w:pPr>
              <w:spacing w:before="80" w:after="80"/>
            </w:pPr>
            <w:r>
              <w:t>Semester(s) in which the module is taught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B73" w:rsidRDefault="006C6B73" w:rsidP="006C6B73">
            <w:pPr>
              <w:spacing w:before="80" w:after="8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Even</w:t>
            </w:r>
          </w:p>
        </w:tc>
      </w:tr>
      <w:tr w:rsidR="006C6B73" w:rsidTr="006C6B7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B73" w:rsidRDefault="006C6B73" w:rsidP="006C6B73">
            <w:pPr>
              <w:spacing w:before="80" w:after="80"/>
            </w:pPr>
            <w:r>
              <w:t>Person responsible for the module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B73" w:rsidRDefault="006C6B73" w:rsidP="006C6B73">
            <w:pPr>
              <w:spacing w:before="80" w:after="8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Nasih Widya Yuwono, S.P., M.P.</w:t>
            </w:r>
          </w:p>
        </w:tc>
      </w:tr>
      <w:tr w:rsidR="006C6B7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B73" w:rsidRDefault="006C6B73" w:rsidP="006C6B73">
            <w:pPr>
              <w:spacing w:before="80" w:after="80"/>
            </w:pPr>
            <w:r>
              <w:t>Lecturer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B73" w:rsidRDefault="006C6B73" w:rsidP="006C6B73">
            <w:pPr>
              <w:spacing w:before="80" w:after="8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Nasih Widya Yuwono, S.P., M.P.</w:t>
            </w:r>
          </w:p>
          <w:p w:rsidR="006C6B73" w:rsidRDefault="006C6B73" w:rsidP="006C6B73">
            <w:pPr>
              <w:spacing w:before="80" w:after="8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Cahyo Wulandari, S.P., M.P., D.Agr.</w:t>
            </w:r>
          </w:p>
        </w:tc>
      </w:tr>
      <w:tr w:rsidR="006C6B7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B73" w:rsidRDefault="006C6B73" w:rsidP="006C6B73">
            <w:pPr>
              <w:spacing w:before="80" w:after="80"/>
            </w:pPr>
            <w:r>
              <w:t>Language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B73" w:rsidRDefault="006C6B73" w:rsidP="006C6B73">
            <w:pPr>
              <w:spacing w:before="80" w:after="8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Bahasa/Indonesia Language.</w:t>
            </w:r>
          </w:p>
        </w:tc>
      </w:tr>
      <w:tr w:rsidR="006C6B7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B73" w:rsidRDefault="006C6B73" w:rsidP="006C6B73">
            <w:pPr>
              <w:spacing w:before="80" w:after="80"/>
            </w:pPr>
            <w:r>
              <w:t>Relation to curriculum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B73" w:rsidRDefault="006C6B73" w:rsidP="006C6B73">
            <w:pPr>
              <w:spacing w:before="80" w:after="8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Compulsory</w:t>
            </w:r>
          </w:p>
        </w:tc>
      </w:tr>
      <w:tr w:rsidR="006C6B73" w:rsidTr="006C6B7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B73" w:rsidRDefault="006C6B73" w:rsidP="006C6B73">
            <w:pPr>
              <w:spacing w:before="80" w:after="80"/>
            </w:pPr>
            <w:r>
              <w:t>Type of teaching, contact hours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B73" w:rsidRDefault="006C6B73" w:rsidP="006C6B73">
            <w:pPr>
              <w:spacing w:before="80" w:after="8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Lecture, practical, and presentation.</w:t>
            </w:r>
          </w:p>
        </w:tc>
      </w:tr>
      <w:tr w:rsidR="006C6B73" w:rsidTr="006C6B7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B73" w:rsidRDefault="006C6B73" w:rsidP="006C6B73">
            <w:pPr>
              <w:spacing w:before="80" w:after="80"/>
            </w:pPr>
            <w:r>
              <w:t>Workload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B73" w:rsidRDefault="006C6B73" w:rsidP="006C6B73">
            <w:pPr>
              <w:tabs>
                <w:tab w:val="left" w:pos="1149"/>
              </w:tabs>
              <w:spacing w:before="80" w:after="8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lang w:val="id-ID"/>
              </w:rPr>
              <w:t xml:space="preserve">2/1 SKS or </w:t>
            </w:r>
            <w:r w:rsidR="00AC5AEC">
              <w:rPr>
                <w:i/>
                <w:sz w:val="20"/>
                <w:lang w:val="id-ID"/>
              </w:rPr>
              <w:t>3,02</w:t>
            </w:r>
            <w:bookmarkStart w:id="0" w:name="_GoBack"/>
            <w:bookmarkEnd w:id="0"/>
            <w:r>
              <w:rPr>
                <w:i/>
                <w:sz w:val="20"/>
                <w:lang w:val="id-ID"/>
              </w:rPr>
              <w:t>/1,51 ECTS</w:t>
            </w:r>
          </w:p>
        </w:tc>
      </w:tr>
      <w:tr w:rsidR="006C6B7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B73" w:rsidRDefault="006C6B73" w:rsidP="006C6B73">
            <w:pPr>
              <w:spacing w:before="80" w:after="80"/>
            </w:pPr>
            <w:r>
              <w:t>Credit points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B73" w:rsidRDefault="006C6B73" w:rsidP="006C6B73">
            <w:pPr>
              <w:spacing w:before="80" w:after="80"/>
              <w:rPr>
                <w:i/>
                <w:sz w:val="20"/>
                <w:szCs w:val="20"/>
              </w:rPr>
            </w:pPr>
          </w:p>
        </w:tc>
      </w:tr>
      <w:tr w:rsidR="006C6B7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B73" w:rsidRDefault="006C6B73" w:rsidP="006C6B73">
            <w:pPr>
              <w:spacing w:before="80" w:after="80"/>
              <w:jc w:val="left"/>
            </w:pPr>
            <w:r>
              <w:t>Requirements according to the examination regulations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B73" w:rsidRDefault="006C6B73" w:rsidP="006C6B73">
            <w:pPr>
              <w:spacing w:before="80"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Presence must be 70% of all meetings.</w:t>
            </w:r>
          </w:p>
          <w:p w:rsidR="006C6B73" w:rsidRDefault="006C6B73" w:rsidP="006C6B73">
            <w:pPr>
              <w:spacing w:before="80"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Has to accomplished all the assignments.</w:t>
            </w:r>
          </w:p>
        </w:tc>
      </w:tr>
      <w:tr w:rsidR="006C6B7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B73" w:rsidRDefault="006C6B73" w:rsidP="006C6B73">
            <w:pPr>
              <w:spacing w:before="80" w:after="80"/>
              <w:jc w:val="left"/>
            </w:pPr>
            <w:r>
              <w:t>Recommended prerequisites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B73" w:rsidRDefault="006C6B73" w:rsidP="006C6B73">
            <w:pPr>
              <w:spacing w:before="80" w:after="8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6C6B7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B73" w:rsidRDefault="006C6B73" w:rsidP="006C6B73">
            <w:pPr>
              <w:spacing w:before="80" w:after="80"/>
              <w:jc w:val="left"/>
            </w:pPr>
            <w:r>
              <w:t>Module objectives/intended learning outcomes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B73" w:rsidRPr="006C6B73" w:rsidRDefault="006C6B73" w:rsidP="006C6B73">
            <w:pPr>
              <w:spacing w:before="77" w:after="0" w:line="240" w:lineRule="auto"/>
              <w:rPr>
                <w:i/>
                <w:sz w:val="20"/>
                <w:szCs w:val="20"/>
              </w:rPr>
            </w:pPr>
            <w:r w:rsidRPr="006C6B73">
              <w:rPr>
                <w:i/>
                <w:sz w:val="20"/>
                <w:szCs w:val="20"/>
              </w:rPr>
              <w:t>Students can explain the principle of plant affinity</w:t>
            </w:r>
          </w:p>
          <w:p w:rsidR="006C6B73" w:rsidRPr="006C6B73" w:rsidRDefault="006C6B73" w:rsidP="006C6B73">
            <w:pPr>
              <w:spacing w:before="77" w:after="0" w:line="240" w:lineRule="auto"/>
              <w:rPr>
                <w:i/>
                <w:sz w:val="20"/>
                <w:szCs w:val="20"/>
              </w:rPr>
            </w:pPr>
            <w:r w:rsidRPr="006C6B73">
              <w:rPr>
                <w:i/>
                <w:sz w:val="20"/>
                <w:szCs w:val="20"/>
              </w:rPr>
              <w:t>Students can analyze plant disturbances</w:t>
            </w:r>
          </w:p>
          <w:p w:rsidR="006C6B73" w:rsidRPr="006C6B73" w:rsidRDefault="006C6B73" w:rsidP="006C6B73">
            <w:pPr>
              <w:spacing w:before="77" w:after="0" w:line="240" w:lineRule="auto"/>
              <w:rPr>
                <w:i/>
                <w:sz w:val="20"/>
                <w:szCs w:val="20"/>
              </w:rPr>
            </w:pPr>
            <w:r w:rsidRPr="006C6B73">
              <w:rPr>
                <w:i/>
                <w:sz w:val="20"/>
                <w:szCs w:val="20"/>
              </w:rPr>
              <w:t>Students can make research designs on plant health</w:t>
            </w:r>
          </w:p>
          <w:p w:rsidR="006C6B73" w:rsidRDefault="006C6B73" w:rsidP="006C6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after="0" w:line="240" w:lineRule="auto"/>
              <w:rPr>
                <w:rFonts w:eastAsia="Arial" w:cs="Arial"/>
                <w:i/>
                <w:color w:val="000000"/>
                <w:sz w:val="20"/>
                <w:szCs w:val="20"/>
              </w:rPr>
            </w:pPr>
            <w:r w:rsidRPr="006C6B73">
              <w:rPr>
                <w:i/>
                <w:sz w:val="20"/>
                <w:szCs w:val="20"/>
              </w:rPr>
              <w:t>Students can provide nutrient management advice on agricultural land</w:t>
            </w:r>
          </w:p>
        </w:tc>
      </w:tr>
      <w:tr w:rsidR="006C6B7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B73" w:rsidRDefault="006C6B73" w:rsidP="006C6B73">
            <w:pPr>
              <w:spacing w:before="80" w:after="0"/>
            </w:pPr>
            <w:r>
              <w:t>Content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B73" w:rsidRDefault="006C6B73" w:rsidP="006C6B7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after="0" w:line="240" w:lineRule="auto"/>
              <w:ind w:left="372"/>
              <w:rPr>
                <w:rFonts w:eastAsia="Arial" w:cs="Arial"/>
                <w:i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i/>
                <w:color w:val="000000"/>
                <w:sz w:val="20"/>
                <w:szCs w:val="20"/>
              </w:rPr>
              <w:t>The definition of nutrient</w:t>
            </w:r>
          </w:p>
          <w:p w:rsidR="006C6B73" w:rsidRDefault="006C6B73" w:rsidP="006C6B7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after="0" w:line="240" w:lineRule="auto"/>
              <w:ind w:left="372"/>
              <w:rPr>
                <w:rFonts w:eastAsia="Arial" w:cs="Arial"/>
                <w:i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i/>
                <w:color w:val="000000"/>
                <w:sz w:val="20"/>
                <w:szCs w:val="20"/>
              </w:rPr>
              <w:t>Soil as medium</w:t>
            </w:r>
          </w:p>
          <w:p w:rsidR="006C6B73" w:rsidRDefault="006C6B73" w:rsidP="006C6B7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after="0" w:line="240" w:lineRule="auto"/>
              <w:ind w:left="372"/>
              <w:rPr>
                <w:rFonts w:eastAsia="Arial" w:cs="Arial"/>
                <w:i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i/>
                <w:color w:val="000000"/>
                <w:sz w:val="20"/>
                <w:szCs w:val="20"/>
              </w:rPr>
              <w:t>Nutrient absorption</w:t>
            </w:r>
          </w:p>
          <w:p w:rsidR="006C6B73" w:rsidRDefault="006C6B73" w:rsidP="006C6B7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after="0" w:line="240" w:lineRule="auto"/>
              <w:ind w:left="372"/>
              <w:rPr>
                <w:rFonts w:eastAsia="Arial" w:cs="Arial"/>
                <w:i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i/>
                <w:color w:val="000000"/>
                <w:sz w:val="20"/>
                <w:szCs w:val="20"/>
              </w:rPr>
              <w:lastRenderedPageBreak/>
              <w:t>Macro nutrient</w:t>
            </w:r>
          </w:p>
          <w:p w:rsidR="006C6B73" w:rsidRDefault="006C6B73" w:rsidP="006C6B7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after="0" w:line="240" w:lineRule="auto"/>
              <w:ind w:left="372"/>
              <w:rPr>
                <w:rFonts w:eastAsia="Arial" w:cs="Arial"/>
                <w:i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i/>
                <w:color w:val="000000"/>
                <w:sz w:val="20"/>
                <w:szCs w:val="20"/>
              </w:rPr>
              <w:t>Micro nutrient</w:t>
            </w:r>
          </w:p>
          <w:p w:rsidR="006C6B73" w:rsidRDefault="006C6B73" w:rsidP="006C6B7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after="0" w:line="240" w:lineRule="auto"/>
              <w:ind w:left="372"/>
              <w:rPr>
                <w:rFonts w:eastAsia="Arial" w:cs="Arial"/>
                <w:i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i/>
                <w:color w:val="000000"/>
                <w:sz w:val="20"/>
                <w:szCs w:val="20"/>
              </w:rPr>
              <w:t>Useful elements</w:t>
            </w:r>
          </w:p>
          <w:p w:rsidR="006C6B73" w:rsidRDefault="006C6B73" w:rsidP="006C6B7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after="0" w:line="240" w:lineRule="auto"/>
              <w:ind w:left="372"/>
              <w:rPr>
                <w:rFonts w:eastAsia="Arial" w:cs="Arial"/>
                <w:i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i/>
                <w:color w:val="000000"/>
                <w:sz w:val="20"/>
                <w:szCs w:val="20"/>
              </w:rPr>
              <w:t>Toxic elements</w:t>
            </w:r>
          </w:p>
          <w:p w:rsidR="006C6B73" w:rsidRDefault="006C6B73" w:rsidP="006C6B7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after="0" w:line="240" w:lineRule="auto"/>
              <w:ind w:left="372"/>
              <w:rPr>
                <w:rFonts w:eastAsia="Arial" w:cs="Arial"/>
                <w:i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i/>
                <w:color w:val="000000"/>
                <w:sz w:val="20"/>
                <w:szCs w:val="20"/>
              </w:rPr>
              <w:t>The role of microbe</w:t>
            </w:r>
          </w:p>
          <w:p w:rsidR="006C6B73" w:rsidRDefault="006C6B73" w:rsidP="006C6B7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after="0" w:line="240" w:lineRule="auto"/>
              <w:ind w:left="372"/>
              <w:rPr>
                <w:rFonts w:eastAsia="Arial" w:cs="Arial"/>
                <w:i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i/>
                <w:color w:val="000000"/>
                <w:sz w:val="20"/>
                <w:szCs w:val="20"/>
              </w:rPr>
              <w:t>Rooting systems</w:t>
            </w:r>
          </w:p>
          <w:p w:rsidR="006C6B73" w:rsidRDefault="006C6B73" w:rsidP="006C6B7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after="0" w:line="240" w:lineRule="auto"/>
              <w:ind w:left="372"/>
              <w:rPr>
                <w:rFonts w:eastAsia="Arial" w:cs="Arial"/>
                <w:i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i/>
                <w:color w:val="000000"/>
                <w:sz w:val="20"/>
                <w:szCs w:val="20"/>
              </w:rPr>
              <w:t>Nutrient study</w:t>
            </w:r>
          </w:p>
          <w:p w:rsidR="006C6B73" w:rsidRDefault="006C6B73" w:rsidP="006C6B7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after="0" w:line="240" w:lineRule="auto"/>
              <w:ind w:left="372"/>
              <w:rPr>
                <w:rFonts w:eastAsia="Arial" w:cs="Arial"/>
                <w:i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i/>
                <w:color w:val="000000"/>
                <w:sz w:val="20"/>
                <w:szCs w:val="20"/>
              </w:rPr>
              <w:t>The study of plant nutrient content</w:t>
            </w:r>
          </w:p>
          <w:p w:rsidR="006C6B73" w:rsidRDefault="006C6B73" w:rsidP="006C6B7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after="0" w:line="240" w:lineRule="auto"/>
              <w:ind w:left="372"/>
              <w:rPr>
                <w:rFonts w:eastAsia="Arial" w:cs="Arial"/>
                <w:i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i/>
                <w:color w:val="000000"/>
                <w:sz w:val="20"/>
                <w:szCs w:val="20"/>
              </w:rPr>
              <w:t>Nutrient management</w:t>
            </w:r>
          </w:p>
        </w:tc>
      </w:tr>
      <w:tr w:rsidR="006C6B7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B73" w:rsidRDefault="006C6B73" w:rsidP="006C6B73">
            <w:pPr>
              <w:spacing w:before="80" w:after="80"/>
              <w:jc w:val="left"/>
            </w:pPr>
            <w:r>
              <w:lastRenderedPageBreak/>
              <w:t>Study and examination requirements and forms of examination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B73" w:rsidRDefault="006C6B73" w:rsidP="006C6B73">
            <w:pPr>
              <w:spacing w:before="77" w:after="0" w:line="240" w:lineRule="auto"/>
              <w:rPr>
                <w:sz w:val="20"/>
                <w:szCs w:val="20"/>
              </w:rPr>
            </w:pPr>
            <w:r w:rsidRPr="00081B01">
              <w:rPr>
                <w:i/>
                <w:sz w:val="20"/>
                <w:lang w:val="id-ID"/>
              </w:rPr>
              <w:t>Assesment Presentasi/UTS/UAS</w:t>
            </w:r>
          </w:p>
          <w:p w:rsidR="006C6B73" w:rsidRDefault="006C6B73" w:rsidP="006C6B73">
            <w:pPr>
              <w:spacing w:before="80" w:after="80"/>
              <w:rPr>
                <w:i/>
                <w:sz w:val="20"/>
                <w:szCs w:val="20"/>
              </w:rPr>
            </w:pPr>
          </w:p>
        </w:tc>
      </w:tr>
      <w:tr w:rsidR="006C6B73" w:rsidTr="006C6B7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B73" w:rsidRDefault="006C6B73" w:rsidP="006C6B73">
            <w:pPr>
              <w:spacing w:before="80" w:after="80"/>
            </w:pPr>
            <w:r>
              <w:t>Media employed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B73" w:rsidRDefault="006C6B73" w:rsidP="006C6B73">
            <w:pPr>
              <w:spacing w:before="80" w:after="8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Text, Presentation, Visual &amp; Audio Web.</w:t>
            </w:r>
          </w:p>
        </w:tc>
      </w:tr>
      <w:tr w:rsidR="006C6B7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B73" w:rsidRDefault="006C6B73" w:rsidP="006C6B73">
            <w:pPr>
              <w:spacing w:before="80" w:after="80"/>
            </w:pPr>
            <w:r>
              <w:t>Reading list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B73" w:rsidRDefault="006C6B73" w:rsidP="006C6B73">
            <w:pPr>
              <w:numPr>
                <w:ilvl w:val="0"/>
                <w:numId w:val="1"/>
              </w:numPr>
              <w:spacing w:before="77" w:after="0" w:line="240" w:lineRule="auto"/>
              <w:ind w:left="368" w:hanging="35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Alloway, BJ, 2013. Heavy Metals in Soil. Traace Metals Metalloids in Soil and Their Bioavailability, Springer </w:t>
            </w:r>
          </w:p>
          <w:p w:rsidR="006C6B73" w:rsidRDefault="006C6B73" w:rsidP="006C6B73">
            <w:pPr>
              <w:numPr>
                <w:ilvl w:val="0"/>
                <w:numId w:val="1"/>
              </w:numPr>
              <w:spacing w:before="77" w:after="0" w:line="240" w:lineRule="auto"/>
              <w:ind w:left="368" w:hanging="35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Barker, AV &amp; DJ. Pilbeam. 2006. Handbook of plant nutrition. CRC Press  </w:t>
            </w:r>
          </w:p>
          <w:p w:rsidR="006C6B73" w:rsidRDefault="006C6B73" w:rsidP="006C6B73">
            <w:pPr>
              <w:numPr>
                <w:ilvl w:val="0"/>
                <w:numId w:val="1"/>
              </w:numPr>
              <w:spacing w:before="77" w:after="0" w:line="240" w:lineRule="auto"/>
              <w:ind w:left="368" w:hanging="35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BassiriRAD, h. 2005. Nutrient Acquisition by Plant. Springer </w:t>
            </w:r>
          </w:p>
          <w:p w:rsidR="006C6B73" w:rsidRDefault="006C6B73" w:rsidP="006C6B73">
            <w:pPr>
              <w:numPr>
                <w:ilvl w:val="0"/>
                <w:numId w:val="1"/>
              </w:numPr>
              <w:spacing w:before="77" w:after="0" w:line="240" w:lineRule="auto"/>
              <w:ind w:left="368" w:hanging="35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Chapman, H.D. 1966. Diagnostic Criteria for Plants and Soils, University of California Press. </w:t>
            </w:r>
          </w:p>
          <w:p w:rsidR="006C6B73" w:rsidRDefault="006C6B73" w:rsidP="006C6B73">
            <w:pPr>
              <w:numPr>
                <w:ilvl w:val="0"/>
                <w:numId w:val="1"/>
              </w:numPr>
              <w:spacing w:before="77" w:after="0" w:line="240" w:lineRule="auto"/>
              <w:ind w:left="368" w:hanging="35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Epstein, E &amp; AJ, Bloom. 2005. Mineral Nutrition of Plant : Principles and Persectives. 2ed. Sinauer Associates.  </w:t>
            </w:r>
          </w:p>
          <w:p w:rsidR="006C6B73" w:rsidRDefault="006C6B73" w:rsidP="006C6B73">
            <w:pPr>
              <w:numPr>
                <w:ilvl w:val="0"/>
                <w:numId w:val="1"/>
              </w:numPr>
              <w:spacing w:before="77" w:after="0" w:line="240" w:lineRule="auto"/>
              <w:ind w:left="368" w:hanging="35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Esher, A &amp; T. Beeckman. 2013. Plant Roots in Crops Production. CRC Press.  </w:t>
            </w:r>
          </w:p>
          <w:p w:rsidR="006C6B73" w:rsidRDefault="006C6B73" w:rsidP="006C6B73">
            <w:pPr>
              <w:numPr>
                <w:ilvl w:val="0"/>
                <w:numId w:val="1"/>
              </w:numPr>
              <w:spacing w:before="77" w:after="0" w:line="240" w:lineRule="auto"/>
              <w:ind w:left="368" w:hanging="35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Fageria, NK. 2012. The Role of Plant Roots in Crops Production. CRC Press </w:t>
            </w:r>
          </w:p>
          <w:p w:rsidR="006C6B73" w:rsidRDefault="006C6B73" w:rsidP="006C6B73">
            <w:pPr>
              <w:numPr>
                <w:ilvl w:val="0"/>
                <w:numId w:val="1"/>
              </w:numPr>
              <w:spacing w:before="77" w:after="0" w:line="240" w:lineRule="auto"/>
              <w:ind w:left="368" w:hanging="35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Hewirr, E.J. 1966. Sand ans Water Culture Methods Used in the Study of Plant Nutritions. 2ed. Commonwealyth Agricultural Bureaux.  </w:t>
            </w:r>
          </w:p>
          <w:p w:rsidR="006C6B73" w:rsidRDefault="006C6B73" w:rsidP="006C6B73">
            <w:pPr>
              <w:numPr>
                <w:ilvl w:val="0"/>
                <w:numId w:val="1"/>
              </w:numPr>
              <w:spacing w:before="77" w:after="0" w:line="240" w:lineRule="auto"/>
              <w:ind w:left="368" w:hanging="35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Iskandar, IK. &amp; MB. Kirkham, 2001. Trace Elements in Soil: Bioavailailability, Flux, and Transfer. CRC Press. </w:t>
            </w:r>
          </w:p>
          <w:p w:rsidR="006C6B73" w:rsidRDefault="006C6B73" w:rsidP="006C6B73">
            <w:pPr>
              <w:numPr>
                <w:ilvl w:val="0"/>
                <w:numId w:val="1"/>
              </w:numPr>
              <w:spacing w:before="77" w:after="0" w:line="240" w:lineRule="auto"/>
              <w:ind w:left="368" w:hanging="35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Jones, JB, B. Wolf &amp; HA. Mills. 1991. Plant Analysis Handbook: A practical sampling, preparation, analysis and interpretation guide. Micro –macro publishing.</w:t>
            </w:r>
          </w:p>
          <w:p w:rsidR="006C6B73" w:rsidRDefault="006C6B73" w:rsidP="006C6B73">
            <w:pPr>
              <w:numPr>
                <w:ilvl w:val="0"/>
                <w:numId w:val="1"/>
              </w:numPr>
              <w:spacing w:before="77" w:after="0" w:line="240" w:lineRule="auto"/>
              <w:ind w:left="368" w:hanging="35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Jones, JB. 2012. Plant nutrition and soil fertility manual. 2ed. CRC Press.</w:t>
            </w:r>
          </w:p>
          <w:p w:rsidR="006C6B73" w:rsidRDefault="006C6B73" w:rsidP="006C6B73">
            <w:pPr>
              <w:numPr>
                <w:ilvl w:val="0"/>
                <w:numId w:val="1"/>
              </w:numPr>
              <w:spacing w:before="77" w:after="0" w:line="240" w:lineRule="auto"/>
              <w:ind w:left="368" w:hanging="35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Marschner, H, &amp; P. Marschner. 2012. Marschner mineral nutrition of higher plants 3ed. Academic Press.  </w:t>
            </w:r>
          </w:p>
          <w:p w:rsidR="006C6B73" w:rsidRDefault="006C6B73" w:rsidP="006C6B73">
            <w:pPr>
              <w:numPr>
                <w:ilvl w:val="0"/>
                <w:numId w:val="1"/>
              </w:numPr>
              <w:spacing w:before="77" w:after="0" w:line="240" w:lineRule="auto"/>
              <w:ind w:left="368" w:hanging="35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Mengel, K, EA. Kirkby, H. Kosegarten &amp;  T. Appel. 2001. Prinsinples of Plant Nutrition. 5 ed. Springer.</w:t>
            </w:r>
          </w:p>
          <w:p w:rsidR="006C6B73" w:rsidRDefault="006C6B73" w:rsidP="006C6B73">
            <w:pPr>
              <w:numPr>
                <w:ilvl w:val="0"/>
                <w:numId w:val="1"/>
              </w:numPr>
              <w:spacing w:before="77" w:after="0" w:line="240" w:lineRule="auto"/>
              <w:ind w:left="368" w:hanging="35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Mortvedt, JJ. 1991. Micronutritients in Agriculture, 2ed. Soil Science Society of America.  </w:t>
            </w:r>
          </w:p>
          <w:p w:rsidR="006C6B73" w:rsidRDefault="006C6B73" w:rsidP="006C6B73">
            <w:pPr>
              <w:numPr>
                <w:ilvl w:val="0"/>
                <w:numId w:val="1"/>
              </w:numPr>
              <w:spacing w:before="80" w:after="0" w:line="240" w:lineRule="auto"/>
              <w:ind w:left="372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Pinton, R. , Z. Varanini , &amp; P. Nannipieri. 2007. The Rhizosphere: Biochemistry and Organic Substances at the Soil-Plant Interface. CRC Press.  </w:t>
            </w:r>
          </w:p>
        </w:tc>
      </w:tr>
    </w:tbl>
    <w:p w:rsidR="00C66D28" w:rsidRDefault="00C66D28"/>
    <w:p w:rsidR="00C66D28" w:rsidRDefault="00C66D28"/>
    <w:sectPr w:rsidR="00C66D28">
      <w:pgSz w:w="11906" w:h="16838"/>
      <w:pgMar w:top="1417" w:right="1417" w:bottom="1134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20D93"/>
    <w:multiLevelType w:val="multilevel"/>
    <w:tmpl w:val="DA3A8A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4371B"/>
    <w:multiLevelType w:val="multilevel"/>
    <w:tmpl w:val="9CC818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AD4648"/>
    <w:multiLevelType w:val="multilevel"/>
    <w:tmpl w:val="1BDC49EC"/>
    <w:lvl w:ilvl="0">
      <w:start w:val="1"/>
      <w:numFmt w:val="decimal"/>
      <w:pStyle w:val="Heading1"/>
      <w:lvlText w:val="%1."/>
      <w:lvlJc w:val="left"/>
      <w:pPr>
        <w:ind w:left="720" w:hanging="360"/>
      </w:pPr>
    </w:lvl>
    <w:lvl w:ilvl="1">
      <w:start w:val="1"/>
      <w:numFmt w:val="lowerLetter"/>
      <w:pStyle w:val="Heading2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6B799D"/>
    <w:multiLevelType w:val="multilevel"/>
    <w:tmpl w:val="9F9EF3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D28"/>
    <w:rsid w:val="00050CFD"/>
    <w:rsid w:val="006C6B73"/>
    <w:rsid w:val="00AC5AEC"/>
    <w:rsid w:val="00C6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84EC47-1990-425A-97E6-E82C4E855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after="12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CB2"/>
    <w:pPr>
      <w:suppressAutoHyphens/>
      <w:spacing w:line="300" w:lineRule="atLeast"/>
    </w:pPr>
    <w:rPr>
      <w:rFonts w:eastAsia="Times New Roman" w:cs="Times New Roman"/>
      <w:szCs w:val="24"/>
      <w:lang w:val="de-DE" w:eastAsia="ar-SA"/>
    </w:rPr>
  </w:style>
  <w:style w:type="paragraph" w:styleId="Heading1">
    <w:name w:val="heading 1"/>
    <w:basedOn w:val="Normal"/>
    <w:next w:val="Normal"/>
    <w:link w:val="Heading1Char"/>
    <w:qFormat/>
    <w:rsid w:val="00603CB2"/>
    <w:pPr>
      <w:keepNext/>
      <w:widowControl w:val="0"/>
      <w:numPr>
        <w:numId w:val="1"/>
      </w:numPr>
      <w:overflowPunct w:val="0"/>
      <w:autoSpaceDE w:val="0"/>
      <w:spacing w:before="300"/>
      <w:jc w:val="left"/>
      <w:textAlignment w:val="baseline"/>
      <w:outlineLvl w:val="0"/>
    </w:pPr>
    <w:rPr>
      <w:rFonts w:ascii="Tahoma" w:hAnsi="Tahoma"/>
      <w:b/>
      <w:color w:val="000080"/>
      <w:kern w:val="1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603CB2"/>
    <w:pPr>
      <w:keepNext/>
      <w:widowControl w:val="0"/>
      <w:numPr>
        <w:ilvl w:val="1"/>
        <w:numId w:val="1"/>
      </w:numPr>
      <w:overflowPunct w:val="0"/>
      <w:autoSpaceDE w:val="0"/>
      <w:spacing w:before="240"/>
      <w:jc w:val="left"/>
      <w:textAlignment w:val="baseline"/>
      <w:outlineLvl w:val="1"/>
    </w:pPr>
    <w:rPr>
      <w:rFonts w:ascii="Tahoma" w:hAnsi="Tahoma"/>
      <w:b/>
      <w:color w:val="000080"/>
      <w:szCs w:val="20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603CB2"/>
    <w:rPr>
      <w:rFonts w:ascii="Tahoma" w:eastAsia="Times New Roman" w:hAnsi="Tahoma" w:cs="Times New Roman"/>
      <w:b/>
      <w:color w:val="000080"/>
      <w:kern w:val="1"/>
      <w:sz w:val="24"/>
      <w:szCs w:val="20"/>
      <w:lang w:val="de-DE" w:eastAsia="ar-SA"/>
    </w:rPr>
  </w:style>
  <w:style w:type="character" w:customStyle="1" w:styleId="Heading2Char">
    <w:name w:val="Heading 2 Char"/>
    <w:basedOn w:val="DefaultParagraphFont"/>
    <w:link w:val="Heading2"/>
    <w:rsid w:val="00603CB2"/>
    <w:rPr>
      <w:rFonts w:ascii="Tahoma" w:eastAsia="Times New Roman" w:hAnsi="Tahoma" w:cs="Times New Roman"/>
      <w:b/>
      <w:color w:val="000080"/>
      <w:szCs w:val="20"/>
      <w:lang w:val="de-DE" w:eastAsia="ar-SA"/>
    </w:rPr>
  </w:style>
  <w:style w:type="paragraph" w:styleId="ListParagraph">
    <w:name w:val="List Paragraph"/>
    <w:basedOn w:val="Normal"/>
    <w:uiPriority w:val="34"/>
    <w:qFormat/>
    <w:rsid w:val="007F3A77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al9lOleAL6y7E1Ao/BQ2932G+w==">AMUW2mWjVk1nYYg9TFTdD71wU+PNTwaU+IB6K1H6HlNoEDaqfoKS2TlxNMrgLLonGPO0bKzRp6EYiTLeMJr/L2ffng9FlNgdDTJkXa2yIYj1hD6srK8PBAY6O2LTWdlu0fv/1Py2XY5C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rani astin</cp:lastModifiedBy>
  <cp:revision>3</cp:revision>
  <dcterms:created xsi:type="dcterms:W3CDTF">2021-03-14T10:35:00Z</dcterms:created>
  <dcterms:modified xsi:type="dcterms:W3CDTF">2021-03-14T13:56:00Z</dcterms:modified>
</cp:coreProperties>
</file>