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hanging="2"/>
      </w:pPr>
      <w:bookmarkStart w:id="0" w:name="_heading=h.gjdgxs" w:colFirst="0" w:colLast="0"/>
      <w:bookmarkEnd w:id="0"/>
      <w:r>
        <w:t>Example form for Module Handbook</w:t>
      </w:r>
    </w:p>
    <w:p>
      <w:pPr>
        <w:ind w:left="0" w:hanging="2"/>
      </w:pPr>
      <w:r>
        <w:rPr>
          <w:b/>
        </w:rPr>
        <w:t>Water Management for Agriculture</w:t>
      </w:r>
    </w:p>
    <w:p>
      <w:pPr>
        <w:ind w:left="0" w:hanging="2"/>
      </w:pPr>
      <w:r>
        <w:t xml:space="preserve">A </w:t>
      </w:r>
      <w:r>
        <w:rPr>
          <w:b/>
        </w:rPr>
        <w:t xml:space="preserve">Module Handbook or collection of module descriptions that is also available for students to consult </w:t>
      </w:r>
      <w:r>
        <w:t xml:space="preserve">should contain the following information about the individual modules: </w:t>
      </w:r>
    </w:p>
    <w:tbl>
      <w:tblPr>
        <w:tblStyle w:val="17"/>
        <w:tblW w:w="91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Module designation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Pengelolaan Daerah Aliran Sungai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Module level, if applicable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Undergraduate Program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Code, if applicable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PNT20192035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Subtitle, if applicable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Courses, if applicable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Semester(s) in which the module is taught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Semester III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Person responsible for the module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Nur Ainun Harlin Jennie Pulungan, S.Si., M.Sc., Ph.D.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Lecturer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Nur Ainun Harlin Jennie Pulungan, S.Si., M.Sc., Ph.D.</w:t>
            </w:r>
          </w:p>
          <w:p>
            <w:pPr>
              <w:spacing w:before="80" w:after="80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Prof. Dr. Junun Sartohadi, M.Sc.</w:t>
            </w:r>
          </w:p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Fathi Alfinur Rizqi, S.T.P., M.Sc.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Language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Bahasa/Indonesia Language.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Relation to curriculum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Compulsory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Type of teaching, contact hours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Lecture, practical, and presentation.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Workload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SKS = 170 minutes x 14 meetings = 39,6 hours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Credit points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2/0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  <w:jc w:val="left"/>
            </w:pPr>
            <w:r>
              <w:t>Requirements according to the examination regulations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 w:line="259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Presence must be 70% of all meetings.</w:t>
            </w:r>
          </w:p>
          <w:p>
            <w:pPr>
              <w:spacing w:before="80" w:after="80" w:line="259" w:lineRule="auto"/>
              <w:ind w:left="0" w:hanging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Has to accomplished all the assignments.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  <w:jc w:val="left"/>
            </w:pPr>
            <w:r>
              <w:t>Recommended prerequisites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  <w:jc w:val="left"/>
            </w:pPr>
            <w:r>
              <w:t>Module objectives/intended learning outcomes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numPr>
                <w:numId w:val="0"/>
              </w:numPr>
              <w:spacing w:before="80" w:after="80"/>
              <w:ind w:left="-2" w:leftChars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- Students are able to explain watershed as an ecosystem and hydrology unit as well as the scope of management studies.</w:t>
            </w:r>
          </w:p>
          <w:p>
            <w:pPr>
              <w:pStyle w:val="18"/>
              <w:numPr>
                <w:numId w:val="0"/>
              </w:numPr>
              <w:spacing w:before="80" w:after="80"/>
              <w:ind w:left="-2" w:leftChars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- Students are able to show the boundaries of a watershed and empirical calculations related to watersheds with the right method</w:t>
            </w:r>
          </w:p>
          <w:p>
            <w:pPr>
              <w:pStyle w:val="18"/>
              <w:numPr>
                <w:numId w:val="0"/>
              </w:numPr>
              <w:spacing w:before="80" w:after="80"/>
              <w:ind w:left="-2" w:leftChars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- Students are able to identify problems on a watershed scale and perform problem solving analysis.</w:t>
            </w:r>
          </w:p>
          <w:p>
            <w:pPr>
              <w:pStyle w:val="18"/>
              <w:numPr>
                <w:numId w:val="0"/>
              </w:numPr>
              <w:spacing w:before="80" w:after="80"/>
              <w:ind w:left="-2" w:leftChars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- Students are able to determine a sustainable watershed management strategy in order to maintain the ecological and economic functions of the watershed as a development paradigm</w:t>
            </w:r>
          </w:p>
          <w:p>
            <w:pPr>
              <w:pStyle w:val="18"/>
              <w:numPr>
                <w:numId w:val="0"/>
              </w:numPr>
              <w:spacing w:before="80" w:after="80"/>
              <w:ind w:left="-2" w:leftChars="0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Content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Introduction and Concept of DAS</w:t>
            </w:r>
          </w:p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Watershed boundaries</w:t>
            </w:r>
          </w:p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Watershed morphometry</w:t>
            </w:r>
          </w:p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Basics of watershed management</w:t>
            </w:r>
          </w:p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Sustainable Development Based on Watershed Ecosystems</w:t>
            </w:r>
          </w:p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Economic Growth as a Benchmark for Sustainable Development</w:t>
            </w:r>
          </w:p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Environmental problems related to watershed</w:t>
            </w:r>
          </w:p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rFonts w:hint="default"/>
                <w:i/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Management Technical Strategy</w:t>
            </w:r>
          </w:p>
          <w:p>
            <w:pPr>
              <w:pStyle w:val="18"/>
              <w:numPr>
                <w:ilvl w:val="0"/>
                <w:numId w:val="2"/>
              </w:numPr>
              <w:spacing w:before="80" w:after="80"/>
              <w:ind w:leftChars="0" w:firstLineChars="0"/>
              <w:rPr>
                <w:sz w:val="20"/>
                <w:szCs w:val="20"/>
              </w:rPr>
            </w:pPr>
            <w:r>
              <w:rPr>
                <w:rFonts w:hint="default"/>
                <w:i/>
                <w:sz w:val="20"/>
                <w:szCs w:val="20"/>
              </w:rPr>
              <w:t>Watershed zoning division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  <w:jc w:val="left"/>
            </w:pPr>
            <w:r>
              <w:t>Study and examination requirements and forms of examination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9"/>
              <w:numPr>
                <w:numId w:val="0"/>
              </w:numPr>
              <w:ind w:leftChars="-2"/>
              <w:rPr>
                <w:i/>
                <w:sz w:val="20"/>
              </w:rPr>
            </w:pPr>
            <w:bookmarkStart w:id="1" w:name="_GoBack"/>
            <w:bookmarkEnd w:id="1"/>
            <w:r>
              <w:rPr>
                <w:i/>
                <w:sz w:val="20"/>
              </w:rPr>
              <w:t>Presence must be 70 % of all meetings</w:t>
            </w:r>
          </w:p>
          <w:p>
            <w:pPr>
              <w:spacing w:before="80" w:after="80"/>
              <w:ind w:left="0" w:leftChars="0" w:firstLine="0" w:firstLineChars="0"/>
              <w:rPr>
                <w:sz w:val="20"/>
                <w:szCs w:val="20"/>
              </w:rPr>
            </w:pPr>
            <w:r>
              <w:rPr>
                <w:i/>
                <w:sz w:val="20"/>
              </w:rPr>
              <w:t>Has to accomplished all the assignments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Media employed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hanging="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Text, Presentation, Visual &amp; Audio Web.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before="80" w:after="80"/>
              <w:ind w:left="0" w:hanging="2"/>
            </w:pPr>
            <w:r>
              <w:t>Reading list</w:t>
            </w:r>
          </w:p>
        </w:tc>
        <w:tc>
          <w:tcPr>
            <w:tcW w:w="6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0" w:after="80"/>
              <w:ind w:left="0" w:leftChars="0" w:firstLine="0" w:firstLineChars="0"/>
              <w:rPr>
                <w:sz w:val="20"/>
                <w:szCs w:val="20"/>
              </w:rPr>
            </w:pPr>
          </w:p>
        </w:tc>
      </w:tr>
    </w:tbl>
    <w:p>
      <w:pPr>
        <w:ind w:left="0" w:hanging="2"/>
      </w:pPr>
    </w:p>
    <w:sectPr>
      <w:pgSz w:w="11906" w:h="16838"/>
      <w:pgMar w:top="1417" w:right="1417" w:bottom="1134" w:left="1417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2D20"/>
    <w:multiLevelType w:val="multilevel"/>
    <w:tmpl w:val="14332D20"/>
    <w:lvl w:ilvl="0" w:tentative="0">
      <w:start w:val="1"/>
      <w:numFmt w:val="decimal"/>
      <w:pStyle w:val="2"/>
      <w:lvlText w:val="%1)"/>
      <w:lvlJc w:val="left"/>
      <w:pPr>
        <w:ind w:left="360" w:hanging="360"/>
      </w:pPr>
      <w:rPr>
        <w:vertAlign w:val="baseline"/>
      </w:rPr>
    </w:lvl>
    <w:lvl w:ilvl="1" w:tentative="0">
      <w:start w:val="1"/>
      <w:numFmt w:val="lowerLetter"/>
      <w:pStyle w:val="3"/>
      <w:lvlText w:val="%2)"/>
      <w:lvlJc w:val="left"/>
      <w:pPr>
        <w:ind w:left="720" w:hanging="360"/>
      </w:pPr>
      <w:rPr>
        <w:vertAlign w:val="baseline"/>
      </w:rPr>
    </w:lvl>
    <w:lvl w:ilvl="2" w:tentative="0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 w:tentative="0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>
    <w:nsid w:val="566C388F"/>
    <w:multiLevelType w:val="multilevel"/>
    <w:tmpl w:val="566C388F"/>
    <w:lvl w:ilvl="0" w:tentative="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78" w:hanging="360"/>
      </w:pPr>
    </w:lvl>
    <w:lvl w:ilvl="2" w:tentative="0">
      <w:start w:val="1"/>
      <w:numFmt w:val="lowerRoman"/>
      <w:lvlText w:val="%3."/>
      <w:lvlJc w:val="right"/>
      <w:pPr>
        <w:ind w:left="1798" w:hanging="180"/>
      </w:pPr>
    </w:lvl>
    <w:lvl w:ilvl="3" w:tentative="0">
      <w:start w:val="1"/>
      <w:numFmt w:val="decimal"/>
      <w:lvlText w:val="%4."/>
      <w:lvlJc w:val="left"/>
      <w:pPr>
        <w:ind w:left="2518" w:hanging="360"/>
      </w:pPr>
    </w:lvl>
    <w:lvl w:ilvl="4" w:tentative="0">
      <w:start w:val="1"/>
      <w:numFmt w:val="lowerLetter"/>
      <w:lvlText w:val="%5."/>
      <w:lvlJc w:val="left"/>
      <w:pPr>
        <w:ind w:left="3238" w:hanging="360"/>
      </w:pPr>
    </w:lvl>
    <w:lvl w:ilvl="5" w:tentative="0">
      <w:start w:val="1"/>
      <w:numFmt w:val="lowerRoman"/>
      <w:lvlText w:val="%6."/>
      <w:lvlJc w:val="right"/>
      <w:pPr>
        <w:ind w:left="3958" w:hanging="180"/>
      </w:pPr>
    </w:lvl>
    <w:lvl w:ilvl="6" w:tentative="0">
      <w:start w:val="1"/>
      <w:numFmt w:val="decimal"/>
      <w:lvlText w:val="%7."/>
      <w:lvlJc w:val="left"/>
      <w:pPr>
        <w:ind w:left="4678" w:hanging="360"/>
      </w:pPr>
    </w:lvl>
    <w:lvl w:ilvl="7" w:tentative="0">
      <w:start w:val="1"/>
      <w:numFmt w:val="lowerLetter"/>
      <w:lvlText w:val="%8."/>
      <w:lvlJc w:val="left"/>
      <w:pPr>
        <w:ind w:left="5398" w:hanging="360"/>
      </w:pPr>
    </w:lvl>
    <w:lvl w:ilvl="8" w:tentative="0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1D"/>
    <w:rsid w:val="009D4D1D"/>
    <w:rsid w:val="00F62DE2"/>
    <w:rsid w:val="00FC52E1"/>
    <w:rsid w:val="2605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20" w:line="300" w:lineRule="atLeast"/>
      <w:ind w:left="-1" w:leftChars="-1" w:hanging="1" w:hangingChars="1"/>
      <w:jc w:val="both"/>
      <w:textAlignment w:val="top"/>
      <w:outlineLvl w:val="0"/>
    </w:pPr>
    <w:rPr>
      <w:rFonts w:ascii="Arial" w:hAnsi="Arial" w:eastAsia="Times New Roman" w:cs="Arial"/>
      <w:position w:val="-1"/>
      <w:sz w:val="22"/>
      <w:szCs w:val="24"/>
      <w:lang w:val="de-DE" w:eastAsia="ar-SA" w:bidi="ar-SA"/>
    </w:rPr>
  </w:style>
  <w:style w:type="paragraph" w:styleId="2">
    <w:name w:val="heading 1"/>
    <w:basedOn w:val="1"/>
    <w:next w:val="1"/>
    <w:uiPriority w:val="0"/>
    <w:pPr>
      <w:keepNext/>
      <w:widowControl w:val="0"/>
      <w:numPr>
        <w:ilvl w:val="0"/>
        <w:numId w:val="1"/>
      </w:numPr>
      <w:overflowPunct w:val="0"/>
      <w:autoSpaceDE w:val="0"/>
      <w:spacing w:before="300"/>
      <w:ind w:left="-1" w:hanging="1"/>
      <w:jc w:val="left"/>
      <w:textAlignment w:val="baseline"/>
    </w:pPr>
    <w:rPr>
      <w:rFonts w:ascii="Tahoma" w:hAnsi="Tahoma"/>
      <w:b/>
      <w:color w:val="000080"/>
      <w:kern w:val="1"/>
      <w:sz w:val="24"/>
      <w:szCs w:val="20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numPr>
        <w:ilvl w:val="1"/>
        <w:numId w:val="1"/>
      </w:numPr>
      <w:overflowPunct w:val="0"/>
      <w:autoSpaceDE w:val="0"/>
      <w:spacing w:before="240"/>
      <w:ind w:left="-1" w:hanging="1"/>
      <w:jc w:val="left"/>
      <w:textAlignment w:val="baseline"/>
      <w:outlineLvl w:val="1"/>
    </w:pPr>
    <w:rPr>
      <w:rFonts w:ascii="Tahoma" w:hAnsi="Tahoma"/>
      <w:b/>
      <w:color w:val="000080"/>
      <w:szCs w:val="20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basedOn w:val="1"/>
    <w:qFormat/>
    <w:uiPriority w:val="0"/>
    <w:pPr>
      <w:overflowPunct w:val="0"/>
      <w:autoSpaceDE w:val="0"/>
      <w:spacing w:after="0" w:line="100" w:lineRule="atLeast"/>
      <w:ind w:left="227" w:hanging="227"/>
      <w:textAlignment w:val="baseline"/>
    </w:pPr>
    <w:rPr>
      <w:sz w:val="18"/>
      <w:szCs w:val="20"/>
    </w:rPr>
  </w:style>
  <w:style w:type="paragraph" w:styleId="9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qFormat/>
    <w:uiPriority w:val="0"/>
    <w:pPr>
      <w:keepNext/>
      <w:keepLines/>
      <w:spacing w:before="480"/>
    </w:pPr>
    <w:rPr>
      <w:b/>
      <w:sz w:val="72"/>
      <w:szCs w:val="72"/>
    </w:rPr>
  </w:style>
  <w:style w:type="character" w:customStyle="1" w:styleId="13">
    <w:name w:val="Heading 1 Char"/>
    <w:qFormat/>
    <w:uiPriority w:val="0"/>
    <w:rPr>
      <w:rFonts w:ascii="Tahoma" w:hAnsi="Tahoma" w:eastAsia="Times New Roman" w:cs="Times New Roman"/>
      <w:b/>
      <w:color w:val="000080"/>
      <w:w w:val="100"/>
      <w:kern w:val="1"/>
      <w:position w:val="-1"/>
      <w:sz w:val="24"/>
      <w:szCs w:val="20"/>
      <w:vertAlign w:val="baseline"/>
      <w:cs w:val="0"/>
      <w:lang w:eastAsia="ar-SA"/>
    </w:rPr>
  </w:style>
  <w:style w:type="character" w:customStyle="1" w:styleId="14">
    <w:name w:val="Heading 2 Char"/>
    <w:qFormat/>
    <w:uiPriority w:val="0"/>
    <w:rPr>
      <w:rFonts w:ascii="Tahoma" w:hAnsi="Tahoma" w:eastAsia="Times New Roman" w:cs="Times New Roman"/>
      <w:b/>
      <w:color w:val="000080"/>
      <w:w w:val="100"/>
      <w:position w:val="-1"/>
      <w:szCs w:val="20"/>
      <w:vertAlign w:val="baseline"/>
      <w:cs w:val="0"/>
      <w:lang w:eastAsia="ar-SA"/>
    </w:rPr>
  </w:style>
  <w:style w:type="character" w:customStyle="1" w:styleId="15">
    <w:name w:val="Footnote Characters"/>
    <w:uiPriority w:val="0"/>
    <w:rPr>
      <w:w w:val="100"/>
      <w:position w:val="-1"/>
      <w:vertAlign w:val="superscript"/>
      <w:cs w:val="0"/>
    </w:rPr>
  </w:style>
  <w:style w:type="character" w:customStyle="1" w:styleId="16">
    <w:name w:val="Footnote Text Char"/>
    <w:uiPriority w:val="0"/>
    <w:rPr>
      <w:rFonts w:ascii="Arial" w:hAnsi="Arial" w:eastAsia="Times New Roman" w:cs="Times New Roman"/>
      <w:w w:val="100"/>
      <w:position w:val="-1"/>
      <w:sz w:val="18"/>
      <w:szCs w:val="20"/>
      <w:vertAlign w:val="baseline"/>
      <w:cs w:val="0"/>
      <w:lang w:eastAsia="ar-SA"/>
    </w:rPr>
  </w:style>
  <w:style w:type="table" w:customStyle="1" w:styleId="17">
    <w:name w:val="_Style 16"/>
    <w:basedOn w:val="12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Table Paragraph"/>
    <w:basedOn w:val="1"/>
    <w:qFormat/>
    <w:uiPriority w:val="1"/>
    <w:pPr>
      <w:spacing w:before="77"/>
      <w:ind w:left="105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H+aexSTCg7txmJDsJw1l23gSA==">AMUW2mUak7i47+GpA117+2/HKLE1HVvlxYCRrFszEYhL80J9K3C6UI6qh5iitOOU3OeKmVvV2PLVyAgXRWmbYLjuXBgm2Bw1kaICJwGSnDTP+5da+lTQUen/oE6FCkc/dJkpL+5J6j2F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447</Words>
  <Characters>2552</Characters>
  <Lines>21</Lines>
  <Paragraphs>5</Paragraphs>
  <TotalTime>0</TotalTime>
  <ScaleCrop>false</ScaleCrop>
  <LinksUpToDate>false</LinksUpToDate>
  <CharactersWithSpaces>2994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2020-11-18T03:52:00Z</dcterms:created>
  <dc:creator>huerter</dc:creator>
  <cp:lastModifiedBy>Ainun</cp:lastModifiedBy>
  <dcterms:modified xsi:type="dcterms:W3CDTF">2020-12-04T02:54:28Z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